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393" w:rsidRPr="003D18FF" w:rsidRDefault="00491405" w:rsidP="003D18FF">
      <w:pPr>
        <w:jc w:val="both"/>
        <w:rPr>
          <w:rFonts w:ascii="Times New Roman" w:hAnsi="Times New Roman" w:cs="Times New Roman"/>
          <w:b/>
          <w:sz w:val="28"/>
          <w:szCs w:val="28"/>
        </w:rPr>
      </w:pPr>
      <w:r>
        <w:rPr>
          <w:rFonts w:ascii="Times New Roman" w:hAnsi="Times New Roman" w:cs="Times New Roman"/>
          <w:b/>
          <w:sz w:val="28"/>
          <w:szCs w:val="28"/>
        </w:rPr>
        <w:t>Практика надання соціальних послуг</w:t>
      </w:r>
      <w:r w:rsidR="003D18FF" w:rsidRPr="003D18FF">
        <w:rPr>
          <w:rFonts w:ascii="Times New Roman" w:hAnsi="Times New Roman" w:cs="Times New Roman"/>
          <w:b/>
          <w:sz w:val="28"/>
          <w:szCs w:val="28"/>
        </w:rPr>
        <w:t xml:space="preserve"> в Білорусі</w:t>
      </w:r>
    </w:p>
    <w:p w:rsidR="0019083D" w:rsidRDefault="0019083D" w:rsidP="003D18FF">
      <w:pPr>
        <w:jc w:val="both"/>
        <w:rPr>
          <w:rFonts w:ascii="Times New Roman" w:hAnsi="Times New Roman" w:cs="Times New Roman"/>
          <w:sz w:val="28"/>
          <w:szCs w:val="28"/>
        </w:rPr>
      </w:pPr>
    </w:p>
    <w:p w:rsidR="00C80700" w:rsidRDefault="0019083D" w:rsidP="003D18FF">
      <w:pPr>
        <w:jc w:val="both"/>
        <w:rPr>
          <w:rFonts w:ascii="Times New Roman" w:hAnsi="Times New Roman" w:cs="Times New Roman"/>
          <w:sz w:val="28"/>
          <w:szCs w:val="28"/>
        </w:rPr>
      </w:pPr>
      <w:r>
        <w:rPr>
          <w:rFonts w:ascii="Times New Roman" w:hAnsi="Times New Roman" w:cs="Times New Roman"/>
          <w:sz w:val="28"/>
          <w:szCs w:val="28"/>
        </w:rPr>
        <w:t xml:space="preserve">Як проголошено в Конституції країни, </w:t>
      </w:r>
      <w:r w:rsidR="003D18FF">
        <w:rPr>
          <w:rFonts w:ascii="Times New Roman" w:hAnsi="Times New Roman" w:cs="Times New Roman"/>
          <w:sz w:val="28"/>
          <w:szCs w:val="28"/>
        </w:rPr>
        <w:t xml:space="preserve">Республіка Білорусь є унітарною </w:t>
      </w:r>
      <w:r w:rsidR="00084355">
        <w:rPr>
          <w:rFonts w:ascii="Times New Roman" w:hAnsi="Times New Roman" w:cs="Times New Roman"/>
          <w:sz w:val="28"/>
          <w:szCs w:val="28"/>
        </w:rPr>
        <w:t xml:space="preserve">соціальною </w:t>
      </w:r>
      <w:r>
        <w:rPr>
          <w:rFonts w:ascii="Times New Roman" w:hAnsi="Times New Roman" w:cs="Times New Roman"/>
          <w:sz w:val="28"/>
          <w:szCs w:val="28"/>
        </w:rPr>
        <w:t xml:space="preserve">державою. </w:t>
      </w:r>
      <w:r w:rsidR="00EC72D9">
        <w:rPr>
          <w:rFonts w:ascii="Times New Roman" w:hAnsi="Times New Roman" w:cs="Times New Roman"/>
          <w:sz w:val="28"/>
          <w:szCs w:val="28"/>
        </w:rPr>
        <w:t>Громадянам гарантується право на соціальне забезпечення в старості, у випадку хвороби, інвалідності, при втраті працездатності, втраті годувальника</w:t>
      </w:r>
      <w:r w:rsidR="00695C14">
        <w:rPr>
          <w:rFonts w:ascii="Times New Roman" w:hAnsi="Times New Roman" w:cs="Times New Roman"/>
          <w:sz w:val="28"/>
          <w:szCs w:val="28"/>
        </w:rPr>
        <w:t xml:space="preserve"> та в інших випадках, що визначаються законом. </w:t>
      </w:r>
      <w:r>
        <w:rPr>
          <w:rFonts w:ascii="Times New Roman" w:hAnsi="Times New Roman" w:cs="Times New Roman"/>
          <w:sz w:val="28"/>
          <w:szCs w:val="28"/>
        </w:rPr>
        <w:t>Власне цим</w:t>
      </w:r>
      <w:r w:rsidR="00C80700">
        <w:rPr>
          <w:rFonts w:ascii="Times New Roman" w:hAnsi="Times New Roman" w:cs="Times New Roman"/>
          <w:sz w:val="28"/>
          <w:szCs w:val="28"/>
        </w:rPr>
        <w:t xml:space="preserve"> конституційним постулатом</w:t>
      </w:r>
      <w:r>
        <w:rPr>
          <w:rFonts w:ascii="Times New Roman" w:hAnsi="Times New Roman" w:cs="Times New Roman"/>
          <w:sz w:val="28"/>
          <w:szCs w:val="28"/>
        </w:rPr>
        <w:t xml:space="preserve"> </w:t>
      </w:r>
      <w:r w:rsidR="00C80700">
        <w:rPr>
          <w:rFonts w:ascii="Times New Roman" w:hAnsi="Times New Roman" w:cs="Times New Roman"/>
          <w:sz w:val="28"/>
          <w:szCs w:val="28"/>
        </w:rPr>
        <w:t xml:space="preserve">та політичними, соціально-економічними, культурними особливостями країни і </w:t>
      </w:r>
      <w:r>
        <w:rPr>
          <w:rFonts w:ascii="Times New Roman" w:hAnsi="Times New Roman" w:cs="Times New Roman"/>
          <w:sz w:val="28"/>
          <w:szCs w:val="28"/>
        </w:rPr>
        <w:t xml:space="preserve">визначається й існуюча </w:t>
      </w:r>
      <w:r w:rsidR="00C80700">
        <w:rPr>
          <w:rFonts w:ascii="Times New Roman" w:hAnsi="Times New Roman" w:cs="Times New Roman"/>
          <w:sz w:val="28"/>
          <w:szCs w:val="28"/>
        </w:rPr>
        <w:t>державна соціальна політика. Задекларована стратегія такої політики</w:t>
      </w:r>
      <w:r w:rsidR="00084355">
        <w:rPr>
          <w:rFonts w:ascii="Times New Roman" w:hAnsi="Times New Roman" w:cs="Times New Roman"/>
          <w:sz w:val="28"/>
          <w:szCs w:val="28"/>
        </w:rPr>
        <w:t xml:space="preserve"> спрямована на підвищення та ефективність соціальної допомоги, </w:t>
      </w:r>
      <w:r w:rsidR="00C80700">
        <w:rPr>
          <w:rFonts w:ascii="Times New Roman" w:hAnsi="Times New Roman" w:cs="Times New Roman"/>
          <w:sz w:val="28"/>
          <w:szCs w:val="28"/>
        </w:rPr>
        <w:t xml:space="preserve"> забезпечення доступності й безоплатності для всіх громадян основних мінімальних послуг, підвищення ролі соціальних гарантій та мінімальних соціальних стандартів, а також перерозподіл соціальних витрат держави на користь найбільш вразливих та малозабезпечених груп населення.</w:t>
      </w:r>
    </w:p>
    <w:p w:rsidR="00EC72D9" w:rsidRDefault="00084355" w:rsidP="003D18FF">
      <w:pPr>
        <w:jc w:val="both"/>
        <w:rPr>
          <w:rFonts w:ascii="Times New Roman" w:hAnsi="Times New Roman" w:cs="Times New Roman"/>
          <w:sz w:val="28"/>
          <w:szCs w:val="28"/>
        </w:rPr>
      </w:pPr>
      <w:r>
        <w:rPr>
          <w:rFonts w:ascii="Times New Roman" w:hAnsi="Times New Roman" w:cs="Times New Roman"/>
          <w:sz w:val="28"/>
          <w:szCs w:val="28"/>
        </w:rPr>
        <w:t>Одне з центральних місць в системі соціальної політики країни посідає соціальне обслуговування</w:t>
      </w:r>
      <w:r w:rsidR="004B6EF0">
        <w:rPr>
          <w:rFonts w:ascii="Times New Roman" w:hAnsi="Times New Roman" w:cs="Times New Roman"/>
          <w:sz w:val="28"/>
          <w:szCs w:val="28"/>
        </w:rPr>
        <w:t xml:space="preserve"> – діяльність з організації та надання соціальних послуг.</w:t>
      </w:r>
      <w:r w:rsidR="00EC72D9">
        <w:rPr>
          <w:rFonts w:ascii="Times New Roman" w:hAnsi="Times New Roman" w:cs="Times New Roman"/>
          <w:sz w:val="28"/>
          <w:szCs w:val="28"/>
        </w:rPr>
        <w:t xml:space="preserve"> Система соціального обслуговування характеризується тим, що є достатньо централізованою і «одержавленою». Проте останнім часом держава декларує, що розвиток цієї системи відбуватиметься шляхом розширення </w:t>
      </w:r>
      <w:proofErr w:type="spellStart"/>
      <w:r w:rsidR="00EC72D9">
        <w:rPr>
          <w:rFonts w:ascii="Times New Roman" w:hAnsi="Times New Roman" w:cs="Times New Roman"/>
          <w:sz w:val="28"/>
          <w:szCs w:val="28"/>
        </w:rPr>
        <w:t>стаціонарозамінної</w:t>
      </w:r>
      <w:proofErr w:type="spellEnd"/>
      <w:r w:rsidR="00EC72D9">
        <w:rPr>
          <w:rFonts w:ascii="Times New Roman" w:hAnsi="Times New Roman" w:cs="Times New Roman"/>
          <w:sz w:val="28"/>
          <w:szCs w:val="28"/>
        </w:rPr>
        <w:t xml:space="preserve"> форми роботи, застосування механізму державного соціального замовлення (ДСЗ)</w:t>
      </w:r>
      <w:r w:rsidR="00695C14">
        <w:rPr>
          <w:rStyle w:val="ac"/>
          <w:rFonts w:ascii="Times New Roman" w:hAnsi="Times New Roman" w:cs="Times New Roman"/>
          <w:sz w:val="28"/>
          <w:szCs w:val="28"/>
        </w:rPr>
        <w:footnoteReference w:id="1"/>
      </w:r>
      <w:r w:rsidR="00EC72D9">
        <w:rPr>
          <w:rFonts w:ascii="Times New Roman" w:hAnsi="Times New Roman" w:cs="Times New Roman"/>
          <w:sz w:val="28"/>
          <w:szCs w:val="28"/>
        </w:rPr>
        <w:t>.</w:t>
      </w:r>
      <w:r w:rsidR="00695C14">
        <w:rPr>
          <w:rFonts w:ascii="Times New Roman" w:hAnsi="Times New Roman" w:cs="Times New Roman"/>
          <w:sz w:val="28"/>
          <w:szCs w:val="28"/>
        </w:rPr>
        <w:t xml:space="preserve"> Соціальні послуги є невід’ємним доповненням фінансового соціального забезпечення.</w:t>
      </w:r>
    </w:p>
    <w:p w:rsidR="00695C14" w:rsidRDefault="00695C14" w:rsidP="003D18FF">
      <w:pPr>
        <w:jc w:val="both"/>
        <w:rPr>
          <w:rFonts w:ascii="Times New Roman" w:hAnsi="Times New Roman" w:cs="Times New Roman"/>
          <w:sz w:val="28"/>
          <w:szCs w:val="28"/>
        </w:rPr>
      </w:pPr>
      <w:r>
        <w:rPr>
          <w:rFonts w:ascii="Times New Roman" w:hAnsi="Times New Roman" w:cs="Times New Roman"/>
          <w:sz w:val="28"/>
          <w:szCs w:val="28"/>
        </w:rPr>
        <w:t>Система соціального обслуговування чітко визначається та регулюється відповідним Законом Республіки Білорусь «Про соціальне обслуговування»</w:t>
      </w:r>
      <w:r w:rsidR="003217B0">
        <w:rPr>
          <w:rStyle w:val="ac"/>
          <w:rFonts w:ascii="Times New Roman" w:hAnsi="Times New Roman" w:cs="Times New Roman"/>
          <w:sz w:val="28"/>
          <w:szCs w:val="28"/>
        </w:rPr>
        <w:footnoteReference w:id="2"/>
      </w:r>
    </w:p>
    <w:p w:rsidR="00D955BB" w:rsidRDefault="00D955BB" w:rsidP="003D18FF">
      <w:pPr>
        <w:jc w:val="both"/>
        <w:rPr>
          <w:rFonts w:ascii="Times New Roman" w:hAnsi="Times New Roman" w:cs="Times New Roman"/>
          <w:sz w:val="28"/>
          <w:szCs w:val="28"/>
        </w:rPr>
      </w:pPr>
      <w:r>
        <w:rPr>
          <w:rFonts w:ascii="Times New Roman" w:hAnsi="Times New Roman" w:cs="Times New Roman"/>
          <w:sz w:val="28"/>
          <w:szCs w:val="28"/>
        </w:rPr>
        <w:t>Під соціальною послугою розуміють дії з надання громадянину допомоги з метою сприяння в упереджені, подоланні складної життєвої ситуації та (або) адаптації до неї.</w:t>
      </w:r>
    </w:p>
    <w:p w:rsidR="00EC72D9" w:rsidRDefault="00D955BB" w:rsidP="003D18FF">
      <w:pPr>
        <w:jc w:val="both"/>
        <w:rPr>
          <w:rFonts w:ascii="Times New Roman" w:hAnsi="Times New Roman" w:cs="Times New Roman"/>
          <w:sz w:val="28"/>
          <w:szCs w:val="28"/>
        </w:rPr>
      </w:pPr>
      <w:r>
        <w:rPr>
          <w:rFonts w:ascii="Times New Roman" w:hAnsi="Times New Roman" w:cs="Times New Roman"/>
          <w:sz w:val="28"/>
          <w:szCs w:val="28"/>
        </w:rPr>
        <w:t>Система соціального обслуговування включає в себе:</w:t>
      </w:r>
    </w:p>
    <w:p w:rsidR="00D955BB" w:rsidRPr="00D955BB" w:rsidRDefault="00D955BB" w:rsidP="00D955BB">
      <w:pPr>
        <w:pStyle w:val="ae"/>
        <w:numPr>
          <w:ilvl w:val="0"/>
          <w:numId w:val="1"/>
        </w:numPr>
        <w:jc w:val="both"/>
        <w:rPr>
          <w:rFonts w:ascii="Times New Roman" w:hAnsi="Times New Roman" w:cs="Times New Roman"/>
          <w:sz w:val="28"/>
          <w:szCs w:val="28"/>
        </w:rPr>
      </w:pPr>
      <w:r>
        <w:rPr>
          <w:rFonts w:ascii="Times New Roman" w:hAnsi="Times New Roman" w:cs="Times New Roman"/>
          <w:sz w:val="28"/>
          <w:szCs w:val="28"/>
        </w:rPr>
        <w:t>д</w:t>
      </w:r>
      <w:r w:rsidRPr="00D955BB">
        <w:rPr>
          <w:rFonts w:ascii="Times New Roman" w:hAnsi="Times New Roman" w:cs="Times New Roman"/>
          <w:sz w:val="28"/>
          <w:szCs w:val="28"/>
        </w:rPr>
        <w:t>ержавні органи, що здійснюють державне регулювання та управління в сфері соціального обслуговування;</w:t>
      </w:r>
    </w:p>
    <w:p w:rsidR="00D955BB" w:rsidRDefault="00D955BB" w:rsidP="00D955BB">
      <w:pPr>
        <w:pStyle w:val="ae"/>
        <w:numPr>
          <w:ilvl w:val="0"/>
          <w:numId w:val="1"/>
        </w:numPr>
        <w:jc w:val="both"/>
        <w:rPr>
          <w:rFonts w:ascii="Times New Roman" w:hAnsi="Times New Roman" w:cs="Times New Roman"/>
          <w:sz w:val="28"/>
          <w:szCs w:val="28"/>
        </w:rPr>
      </w:pPr>
      <w:r>
        <w:rPr>
          <w:rFonts w:ascii="Times New Roman" w:hAnsi="Times New Roman" w:cs="Times New Roman"/>
          <w:sz w:val="28"/>
          <w:szCs w:val="28"/>
        </w:rPr>
        <w:t>д</w:t>
      </w:r>
      <w:r w:rsidRPr="00D955BB">
        <w:rPr>
          <w:rFonts w:ascii="Times New Roman" w:hAnsi="Times New Roman" w:cs="Times New Roman"/>
          <w:sz w:val="28"/>
          <w:szCs w:val="28"/>
        </w:rPr>
        <w:t>ержавні організації (їх структурні підрозділи), інші юридичні особи, що надають соціальні послуги</w:t>
      </w:r>
      <w:r>
        <w:rPr>
          <w:rFonts w:ascii="Times New Roman" w:hAnsi="Times New Roman" w:cs="Times New Roman"/>
          <w:sz w:val="28"/>
          <w:szCs w:val="28"/>
        </w:rPr>
        <w:t xml:space="preserve"> і в тому числі неурядові організації</w:t>
      </w:r>
      <w:r w:rsidRPr="00D955BB">
        <w:rPr>
          <w:rFonts w:ascii="Times New Roman" w:hAnsi="Times New Roman" w:cs="Times New Roman"/>
          <w:sz w:val="28"/>
          <w:szCs w:val="28"/>
        </w:rPr>
        <w:t>;</w:t>
      </w:r>
    </w:p>
    <w:p w:rsidR="00D955BB" w:rsidRPr="00D955BB" w:rsidRDefault="00D955BB" w:rsidP="00D955BB">
      <w:pPr>
        <w:pStyle w:val="ae"/>
        <w:numPr>
          <w:ilvl w:val="0"/>
          <w:numId w:val="1"/>
        </w:numPr>
        <w:jc w:val="both"/>
        <w:rPr>
          <w:rFonts w:ascii="Times New Roman" w:hAnsi="Times New Roman" w:cs="Times New Roman"/>
          <w:sz w:val="28"/>
          <w:szCs w:val="28"/>
        </w:rPr>
      </w:pPr>
      <w:r>
        <w:rPr>
          <w:rFonts w:ascii="Times New Roman" w:hAnsi="Times New Roman" w:cs="Times New Roman"/>
          <w:sz w:val="28"/>
          <w:szCs w:val="28"/>
        </w:rPr>
        <w:t>індивідуальні підприємці, що надають соціальні послуги.</w:t>
      </w:r>
    </w:p>
    <w:p w:rsidR="00682797" w:rsidRDefault="007D491E" w:rsidP="003D18F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Ця система на практиці характеризується передусім укоріненістю держави та державних організацій як основних надавачів соціальних послуг. </w:t>
      </w:r>
      <w:r w:rsidR="00682797">
        <w:rPr>
          <w:rFonts w:ascii="Times New Roman" w:hAnsi="Times New Roman" w:cs="Times New Roman"/>
          <w:sz w:val="28"/>
          <w:szCs w:val="28"/>
        </w:rPr>
        <w:t>Державні організації, що надають соціальні послуги:</w:t>
      </w:r>
    </w:p>
    <w:p w:rsidR="00682797" w:rsidRPr="00682797" w:rsidRDefault="00682797" w:rsidP="00682797">
      <w:pPr>
        <w:pStyle w:val="ae"/>
        <w:numPr>
          <w:ilvl w:val="0"/>
          <w:numId w:val="2"/>
        </w:numPr>
        <w:jc w:val="both"/>
        <w:rPr>
          <w:rFonts w:ascii="Times New Roman" w:hAnsi="Times New Roman" w:cs="Times New Roman"/>
          <w:sz w:val="28"/>
          <w:szCs w:val="28"/>
        </w:rPr>
      </w:pPr>
      <w:r>
        <w:rPr>
          <w:rFonts w:ascii="Times New Roman" w:hAnsi="Times New Roman" w:cs="Times New Roman"/>
          <w:sz w:val="28"/>
          <w:szCs w:val="28"/>
        </w:rPr>
        <w:t>л</w:t>
      </w:r>
      <w:r w:rsidRPr="00682797">
        <w:rPr>
          <w:rFonts w:ascii="Times New Roman" w:hAnsi="Times New Roman" w:cs="Times New Roman"/>
          <w:sz w:val="28"/>
          <w:szCs w:val="28"/>
        </w:rPr>
        <w:t>ікарні сестринського догляду;</w:t>
      </w:r>
    </w:p>
    <w:p w:rsidR="00682797" w:rsidRDefault="00682797" w:rsidP="00682797">
      <w:pPr>
        <w:pStyle w:val="ae"/>
        <w:numPr>
          <w:ilvl w:val="0"/>
          <w:numId w:val="2"/>
        </w:numPr>
        <w:jc w:val="both"/>
        <w:rPr>
          <w:rFonts w:ascii="Times New Roman" w:hAnsi="Times New Roman" w:cs="Times New Roman"/>
          <w:sz w:val="28"/>
          <w:szCs w:val="28"/>
        </w:rPr>
      </w:pPr>
      <w:r>
        <w:rPr>
          <w:rFonts w:ascii="Times New Roman" w:hAnsi="Times New Roman" w:cs="Times New Roman"/>
          <w:sz w:val="28"/>
          <w:szCs w:val="28"/>
        </w:rPr>
        <w:t>г</w:t>
      </w:r>
      <w:r w:rsidRPr="00682797">
        <w:rPr>
          <w:rFonts w:ascii="Times New Roman" w:hAnsi="Times New Roman" w:cs="Times New Roman"/>
          <w:sz w:val="28"/>
          <w:szCs w:val="28"/>
        </w:rPr>
        <w:t>еронтологічні центри;</w:t>
      </w:r>
    </w:p>
    <w:p w:rsidR="00682797" w:rsidRDefault="00682797" w:rsidP="00682797">
      <w:pPr>
        <w:pStyle w:val="ae"/>
        <w:numPr>
          <w:ilvl w:val="0"/>
          <w:numId w:val="2"/>
        </w:numPr>
        <w:jc w:val="both"/>
        <w:rPr>
          <w:rFonts w:ascii="Times New Roman" w:hAnsi="Times New Roman" w:cs="Times New Roman"/>
          <w:sz w:val="28"/>
          <w:szCs w:val="28"/>
        </w:rPr>
      </w:pPr>
      <w:r>
        <w:rPr>
          <w:rFonts w:ascii="Times New Roman" w:hAnsi="Times New Roman" w:cs="Times New Roman"/>
          <w:sz w:val="28"/>
          <w:szCs w:val="28"/>
        </w:rPr>
        <w:t>дома (центри) тимчасового перебування осіб без визначеного місця проживання;</w:t>
      </w:r>
    </w:p>
    <w:p w:rsidR="00682797" w:rsidRDefault="00682797" w:rsidP="00682797">
      <w:pPr>
        <w:pStyle w:val="ae"/>
        <w:numPr>
          <w:ilvl w:val="0"/>
          <w:numId w:val="2"/>
        </w:numPr>
        <w:jc w:val="both"/>
        <w:rPr>
          <w:rFonts w:ascii="Times New Roman" w:hAnsi="Times New Roman" w:cs="Times New Roman"/>
          <w:sz w:val="28"/>
          <w:szCs w:val="28"/>
        </w:rPr>
      </w:pPr>
      <w:r>
        <w:rPr>
          <w:rFonts w:ascii="Times New Roman" w:hAnsi="Times New Roman" w:cs="Times New Roman"/>
          <w:sz w:val="28"/>
          <w:szCs w:val="28"/>
        </w:rPr>
        <w:t>соціально-педагогічні центри;</w:t>
      </w:r>
    </w:p>
    <w:p w:rsidR="00682797" w:rsidRDefault="00682797" w:rsidP="00682797">
      <w:pPr>
        <w:pStyle w:val="ae"/>
        <w:numPr>
          <w:ilvl w:val="0"/>
          <w:numId w:val="2"/>
        </w:numPr>
        <w:jc w:val="both"/>
        <w:rPr>
          <w:rFonts w:ascii="Times New Roman" w:hAnsi="Times New Roman" w:cs="Times New Roman"/>
          <w:sz w:val="28"/>
          <w:szCs w:val="28"/>
        </w:rPr>
      </w:pPr>
      <w:r>
        <w:rPr>
          <w:rFonts w:ascii="Times New Roman" w:hAnsi="Times New Roman" w:cs="Times New Roman"/>
          <w:sz w:val="28"/>
          <w:szCs w:val="28"/>
        </w:rPr>
        <w:t>спеціалізовані трудові майстерні;</w:t>
      </w:r>
    </w:p>
    <w:p w:rsidR="00682797" w:rsidRDefault="00682797" w:rsidP="00682797">
      <w:pPr>
        <w:pStyle w:val="ae"/>
        <w:numPr>
          <w:ilvl w:val="0"/>
          <w:numId w:val="2"/>
        </w:numPr>
        <w:jc w:val="both"/>
        <w:rPr>
          <w:rFonts w:ascii="Times New Roman" w:hAnsi="Times New Roman" w:cs="Times New Roman"/>
          <w:sz w:val="28"/>
          <w:szCs w:val="28"/>
        </w:rPr>
      </w:pPr>
      <w:proofErr w:type="spellStart"/>
      <w:r>
        <w:rPr>
          <w:rFonts w:ascii="Times New Roman" w:hAnsi="Times New Roman" w:cs="Times New Roman"/>
          <w:sz w:val="28"/>
          <w:szCs w:val="28"/>
        </w:rPr>
        <w:t>хоспіси</w:t>
      </w:r>
      <w:proofErr w:type="spellEnd"/>
      <w:r>
        <w:rPr>
          <w:rFonts w:ascii="Times New Roman" w:hAnsi="Times New Roman" w:cs="Times New Roman"/>
          <w:sz w:val="28"/>
          <w:szCs w:val="28"/>
        </w:rPr>
        <w:t>;</w:t>
      </w:r>
    </w:p>
    <w:p w:rsidR="00682797" w:rsidRPr="00682797" w:rsidRDefault="00682797" w:rsidP="00682797">
      <w:pPr>
        <w:pStyle w:val="ae"/>
        <w:numPr>
          <w:ilvl w:val="0"/>
          <w:numId w:val="2"/>
        </w:numPr>
        <w:jc w:val="both"/>
      </w:pPr>
      <w:r>
        <w:rPr>
          <w:rFonts w:ascii="Times New Roman" w:hAnsi="Times New Roman" w:cs="Times New Roman"/>
          <w:sz w:val="28"/>
          <w:szCs w:val="28"/>
        </w:rPr>
        <w:t>установи соціального обслуговування: будинки-інтернати для літніх та інвалідів, будинки-інтернати для дітей-інвалідів, спеціальні будинки для ветеранів, територіальні центри соціального обслуговування населення;</w:t>
      </w:r>
    </w:p>
    <w:p w:rsidR="00DD016E" w:rsidRPr="00DD016E" w:rsidRDefault="00682797" w:rsidP="00682797">
      <w:pPr>
        <w:pStyle w:val="ae"/>
        <w:numPr>
          <w:ilvl w:val="0"/>
          <w:numId w:val="2"/>
        </w:numPr>
        <w:jc w:val="both"/>
      </w:pPr>
      <w:r>
        <w:rPr>
          <w:rFonts w:ascii="Times New Roman" w:hAnsi="Times New Roman" w:cs="Times New Roman"/>
          <w:sz w:val="28"/>
          <w:szCs w:val="28"/>
        </w:rPr>
        <w:t xml:space="preserve">центри </w:t>
      </w:r>
      <w:proofErr w:type="spellStart"/>
      <w:r w:rsidR="00DD016E">
        <w:rPr>
          <w:rFonts w:ascii="Times New Roman" w:hAnsi="Times New Roman" w:cs="Times New Roman"/>
          <w:sz w:val="28"/>
          <w:szCs w:val="28"/>
        </w:rPr>
        <w:t>кор</w:t>
      </w:r>
      <w:r>
        <w:rPr>
          <w:rFonts w:ascii="Times New Roman" w:hAnsi="Times New Roman" w:cs="Times New Roman"/>
          <w:sz w:val="28"/>
          <w:szCs w:val="28"/>
        </w:rPr>
        <w:t>екційного-розвиваючого</w:t>
      </w:r>
      <w:proofErr w:type="spellEnd"/>
      <w:r>
        <w:rPr>
          <w:rFonts w:ascii="Times New Roman" w:hAnsi="Times New Roman" w:cs="Times New Roman"/>
          <w:sz w:val="28"/>
          <w:szCs w:val="28"/>
        </w:rPr>
        <w:t xml:space="preserve"> навчання та реабілітації</w:t>
      </w:r>
      <w:r w:rsidR="00DD016E">
        <w:rPr>
          <w:rFonts w:ascii="Times New Roman" w:hAnsi="Times New Roman" w:cs="Times New Roman"/>
          <w:sz w:val="28"/>
          <w:szCs w:val="28"/>
        </w:rPr>
        <w:t xml:space="preserve"> (спеціальні навчально-виховні установи системи освіти, призначення яких – це </w:t>
      </w:r>
      <w:proofErr w:type="spellStart"/>
      <w:r w:rsidR="00DD016E">
        <w:rPr>
          <w:rFonts w:ascii="Times New Roman" w:hAnsi="Times New Roman" w:cs="Times New Roman"/>
          <w:sz w:val="28"/>
          <w:szCs w:val="28"/>
        </w:rPr>
        <w:t>стоврення</w:t>
      </w:r>
      <w:proofErr w:type="spellEnd"/>
      <w:r w:rsidR="00DD016E">
        <w:rPr>
          <w:rFonts w:ascii="Times New Roman" w:hAnsi="Times New Roman" w:cs="Times New Roman"/>
          <w:sz w:val="28"/>
          <w:szCs w:val="28"/>
        </w:rPr>
        <w:t xml:space="preserve"> комплексної системи соціально-педагогічної, психологічної, медичної реабілітації дітей з особливостями психофізичного розвитку (ОПФР);</w:t>
      </w:r>
    </w:p>
    <w:p w:rsidR="00682797" w:rsidRPr="00682797" w:rsidRDefault="00682797" w:rsidP="00682797">
      <w:pPr>
        <w:pStyle w:val="ae"/>
        <w:numPr>
          <w:ilvl w:val="0"/>
          <w:numId w:val="2"/>
        </w:numPr>
        <w:jc w:val="both"/>
      </w:pPr>
      <w:r>
        <w:rPr>
          <w:rFonts w:ascii="Times New Roman" w:hAnsi="Times New Roman" w:cs="Times New Roman"/>
          <w:sz w:val="28"/>
          <w:szCs w:val="28"/>
        </w:rPr>
        <w:t xml:space="preserve">центри </w:t>
      </w:r>
      <w:proofErr w:type="spellStart"/>
      <w:r w:rsidR="00DD016E">
        <w:rPr>
          <w:rFonts w:ascii="Times New Roman" w:hAnsi="Times New Roman" w:cs="Times New Roman"/>
          <w:sz w:val="28"/>
          <w:szCs w:val="28"/>
        </w:rPr>
        <w:t>ре</w:t>
      </w:r>
      <w:r>
        <w:rPr>
          <w:rFonts w:ascii="Times New Roman" w:hAnsi="Times New Roman" w:cs="Times New Roman"/>
          <w:sz w:val="28"/>
          <w:szCs w:val="28"/>
        </w:rPr>
        <w:t>соціалізації</w:t>
      </w:r>
      <w:proofErr w:type="spellEnd"/>
      <w:r>
        <w:rPr>
          <w:rFonts w:ascii="Times New Roman" w:hAnsi="Times New Roman" w:cs="Times New Roman"/>
          <w:sz w:val="28"/>
          <w:szCs w:val="28"/>
        </w:rPr>
        <w:t xml:space="preserve"> та (або) соціальної адаптації.</w:t>
      </w:r>
    </w:p>
    <w:p w:rsidR="00A64E47" w:rsidRDefault="00EF6436" w:rsidP="003D18FF">
      <w:pPr>
        <w:jc w:val="both"/>
        <w:rPr>
          <w:rFonts w:ascii="Times New Roman" w:hAnsi="Times New Roman" w:cs="Times New Roman"/>
          <w:sz w:val="28"/>
          <w:szCs w:val="28"/>
        </w:rPr>
      </w:pPr>
      <w:r>
        <w:rPr>
          <w:rFonts w:ascii="Times New Roman" w:hAnsi="Times New Roman" w:cs="Times New Roman"/>
          <w:sz w:val="28"/>
          <w:szCs w:val="28"/>
        </w:rPr>
        <w:t>Хоч неурядові організації і володіють правом надавати соціальні послуги, проте через низку обмежень, встановлених законодавством про громадські організації передусім, можливості для цього фактично мінімальні.</w:t>
      </w:r>
    </w:p>
    <w:p w:rsidR="00027E28" w:rsidRDefault="0009732D" w:rsidP="003D18FF">
      <w:pPr>
        <w:jc w:val="both"/>
        <w:rPr>
          <w:rFonts w:ascii="Times New Roman" w:hAnsi="Times New Roman" w:cs="Times New Roman"/>
          <w:sz w:val="28"/>
          <w:szCs w:val="28"/>
        </w:rPr>
      </w:pPr>
      <w:r>
        <w:rPr>
          <w:rFonts w:ascii="Times New Roman" w:hAnsi="Times New Roman" w:cs="Times New Roman"/>
          <w:sz w:val="28"/>
          <w:szCs w:val="28"/>
        </w:rPr>
        <w:t xml:space="preserve">Урядом визначено мінімальні соціальні стандарти в сфері соціального обслуговування, які мають бути забезпечені відповідними органами влади. Так за визначеним стандартом в кожному районі Республіки Білорусь має бути створено щонайменше один </w:t>
      </w:r>
      <w:r w:rsidR="00027E28">
        <w:rPr>
          <w:rFonts w:ascii="Times New Roman" w:hAnsi="Times New Roman" w:cs="Times New Roman"/>
          <w:sz w:val="28"/>
          <w:szCs w:val="28"/>
        </w:rPr>
        <w:t xml:space="preserve">територіальний </w:t>
      </w:r>
      <w:r>
        <w:rPr>
          <w:rFonts w:ascii="Times New Roman" w:hAnsi="Times New Roman" w:cs="Times New Roman"/>
          <w:sz w:val="28"/>
          <w:szCs w:val="28"/>
        </w:rPr>
        <w:t>центр соціального обслуговування</w:t>
      </w:r>
      <w:r w:rsidR="00027E28">
        <w:rPr>
          <w:rFonts w:ascii="Times New Roman" w:hAnsi="Times New Roman" w:cs="Times New Roman"/>
          <w:sz w:val="28"/>
          <w:szCs w:val="28"/>
        </w:rPr>
        <w:t xml:space="preserve"> населення (ТЦСОН)</w:t>
      </w:r>
      <w:r>
        <w:rPr>
          <w:rFonts w:ascii="Times New Roman" w:hAnsi="Times New Roman" w:cs="Times New Roman"/>
          <w:sz w:val="28"/>
          <w:szCs w:val="28"/>
        </w:rPr>
        <w:t>, який має надавати соціальні послуги.</w:t>
      </w:r>
      <w:r w:rsidR="00027E28">
        <w:rPr>
          <w:rFonts w:ascii="Times New Roman" w:hAnsi="Times New Roman" w:cs="Times New Roman"/>
          <w:sz w:val="28"/>
          <w:szCs w:val="28"/>
        </w:rPr>
        <w:t xml:space="preserve"> Відповідно інформації Мінпраці, станом на 1 півріччя 2016 року в країні функціонує 146 </w:t>
      </w:r>
      <w:proofErr w:type="spellStart"/>
      <w:r w:rsidR="00027E28">
        <w:rPr>
          <w:rFonts w:ascii="Times New Roman" w:hAnsi="Times New Roman" w:cs="Times New Roman"/>
          <w:sz w:val="28"/>
          <w:szCs w:val="28"/>
        </w:rPr>
        <w:t>ТЦС</w:t>
      </w:r>
      <w:r w:rsidR="00DD016E">
        <w:rPr>
          <w:rFonts w:ascii="Times New Roman" w:hAnsi="Times New Roman" w:cs="Times New Roman"/>
          <w:sz w:val="28"/>
          <w:szCs w:val="28"/>
        </w:rPr>
        <w:t>ОНів</w:t>
      </w:r>
      <w:proofErr w:type="spellEnd"/>
      <w:r w:rsidR="00DD016E">
        <w:rPr>
          <w:rFonts w:ascii="Times New Roman" w:hAnsi="Times New Roman" w:cs="Times New Roman"/>
          <w:sz w:val="28"/>
          <w:szCs w:val="28"/>
        </w:rPr>
        <w:t xml:space="preserve"> та 1172 соціальних пунктів, 2 міських центри соціальної допомоги сім’ї та дітям, у с структуру яких входять відділення соціальної адаптації та реабілітації (133), «кризові кімнати» (76)</w:t>
      </w:r>
      <w:r w:rsidR="00DD016E">
        <w:rPr>
          <w:rStyle w:val="ac"/>
          <w:rFonts w:ascii="Times New Roman" w:hAnsi="Times New Roman" w:cs="Times New Roman"/>
          <w:sz w:val="28"/>
          <w:szCs w:val="28"/>
        </w:rPr>
        <w:footnoteReference w:id="3"/>
      </w:r>
      <w:r w:rsidR="00DD016E">
        <w:rPr>
          <w:rFonts w:ascii="Times New Roman" w:hAnsi="Times New Roman" w:cs="Times New Roman"/>
          <w:sz w:val="28"/>
          <w:szCs w:val="28"/>
        </w:rPr>
        <w:t>.</w:t>
      </w:r>
      <w:r w:rsidR="00027E28">
        <w:rPr>
          <w:rFonts w:ascii="Times New Roman" w:hAnsi="Times New Roman" w:cs="Times New Roman"/>
          <w:sz w:val="28"/>
          <w:szCs w:val="28"/>
        </w:rPr>
        <w:t xml:space="preserve"> </w:t>
      </w:r>
    </w:p>
    <w:p w:rsidR="0009732D" w:rsidRDefault="0009732D" w:rsidP="003D18FF">
      <w:pPr>
        <w:jc w:val="both"/>
        <w:rPr>
          <w:rFonts w:ascii="Times New Roman" w:hAnsi="Times New Roman" w:cs="Times New Roman"/>
          <w:sz w:val="28"/>
          <w:szCs w:val="28"/>
        </w:rPr>
      </w:pPr>
      <w:r>
        <w:rPr>
          <w:rFonts w:ascii="Times New Roman" w:hAnsi="Times New Roman" w:cs="Times New Roman"/>
          <w:sz w:val="28"/>
          <w:szCs w:val="28"/>
        </w:rPr>
        <w:t>З метою забезпечення ефективності та якості надання соціальних послуг в країні запроваджено механізм ДСЗ, який покликаний виконувати такі задачі:</w:t>
      </w:r>
    </w:p>
    <w:p w:rsidR="0009732D" w:rsidRDefault="0009732D" w:rsidP="0009732D">
      <w:pPr>
        <w:pStyle w:val="ae"/>
        <w:numPr>
          <w:ilvl w:val="0"/>
          <w:numId w:val="3"/>
        </w:numPr>
        <w:jc w:val="both"/>
        <w:rPr>
          <w:rFonts w:ascii="Times New Roman" w:hAnsi="Times New Roman" w:cs="Times New Roman"/>
          <w:sz w:val="28"/>
          <w:szCs w:val="28"/>
        </w:rPr>
      </w:pPr>
      <w:r>
        <w:rPr>
          <w:rFonts w:ascii="Times New Roman" w:hAnsi="Times New Roman" w:cs="Times New Roman"/>
          <w:sz w:val="28"/>
          <w:szCs w:val="28"/>
        </w:rPr>
        <w:t>о</w:t>
      </w:r>
      <w:r w:rsidRPr="0009732D">
        <w:rPr>
          <w:rFonts w:ascii="Times New Roman" w:hAnsi="Times New Roman" w:cs="Times New Roman"/>
          <w:sz w:val="28"/>
          <w:szCs w:val="28"/>
        </w:rPr>
        <w:t>перативно вирішувати найбільш значущі соціальні проблеми;</w:t>
      </w:r>
    </w:p>
    <w:p w:rsidR="0009732D" w:rsidRDefault="0009732D" w:rsidP="0009732D">
      <w:pPr>
        <w:pStyle w:val="ae"/>
        <w:numPr>
          <w:ilvl w:val="0"/>
          <w:numId w:val="3"/>
        </w:numPr>
        <w:jc w:val="both"/>
        <w:rPr>
          <w:rFonts w:ascii="Times New Roman" w:hAnsi="Times New Roman" w:cs="Times New Roman"/>
          <w:sz w:val="28"/>
          <w:szCs w:val="28"/>
        </w:rPr>
      </w:pPr>
      <w:r>
        <w:rPr>
          <w:rFonts w:ascii="Times New Roman" w:hAnsi="Times New Roman" w:cs="Times New Roman"/>
          <w:sz w:val="28"/>
          <w:szCs w:val="28"/>
        </w:rPr>
        <w:t>розвивати інноваційні технології соціального обслуговування;</w:t>
      </w:r>
    </w:p>
    <w:p w:rsidR="0009732D" w:rsidRDefault="0009732D" w:rsidP="0009732D">
      <w:pPr>
        <w:pStyle w:val="ae"/>
        <w:numPr>
          <w:ilvl w:val="0"/>
          <w:numId w:val="3"/>
        </w:numPr>
        <w:jc w:val="both"/>
        <w:rPr>
          <w:rFonts w:ascii="Times New Roman" w:hAnsi="Times New Roman" w:cs="Times New Roman"/>
          <w:sz w:val="28"/>
          <w:szCs w:val="28"/>
        </w:rPr>
      </w:pPr>
      <w:r>
        <w:rPr>
          <w:rFonts w:ascii="Times New Roman" w:hAnsi="Times New Roman" w:cs="Times New Roman"/>
          <w:sz w:val="28"/>
          <w:szCs w:val="28"/>
        </w:rPr>
        <w:t>розширення видів соціальних послуг;</w:t>
      </w:r>
    </w:p>
    <w:p w:rsidR="0009732D" w:rsidRDefault="0009732D" w:rsidP="0009732D">
      <w:pPr>
        <w:pStyle w:val="ae"/>
        <w:numPr>
          <w:ilvl w:val="0"/>
          <w:numId w:val="3"/>
        </w:numPr>
        <w:jc w:val="both"/>
        <w:rPr>
          <w:rFonts w:ascii="Times New Roman" w:hAnsi="Times New Roman" w:cs="Times New Roman"/>
          <w:sz w:val="28"/>
          <w:szCs w:val="28"/>
        </w:rPr>
      </w:pPr>
      <w:r>
        <w:rPr>
          <w:rFonts w:ascii="Times New Roman" w:hAnsi="Times New Roman" w:cs="Times New Roman"/>
          <w:sz w:val="28"/>
          <w:szCs w:val="28"/>
        </w:rPr>
        <w:lastRenderedPageBreak/>
        <w:t>залучення додаткових матеріальних, фінансових та трудових ресурсів в систему соціального обслуговування.</w:t>
      </w:r>
    </w:p>
    <w:p w:rsidR="0009732D" w:rsidRDefault="0009732D" w:rsidP="0009732D">
      <w:pPr>
        <w:jc w:val="both"/>
        <w:rPr>
          <w:rFonts w:ascii="Times New Roman" w:hAnsi="Times New Roman" w:cs="Times New Roman"/>
          <w:sz w:val="28"/>
          <w:szCs w:val="28"/>
        </w:rPr>
      </w:pPr>
      <w:r>
        <w:rPr>
          <w:rFonts w:ascii="Times New Roman" w:hAnsi="Times New Roman" w:cs="Times New Roman"/>
          <w:sz w:val="28"/>
          <w:szCs w:val="28"/>
        </w:rPr>
        <w:t>Основними принципами ДСЗ є:</w:t>
      </w:r>
    </w:p>
    <w:p w:rsidR="0009732D" w:rsidRPr="0009732D" w:rsidRDefault="0009732D" w:rsidP="0009732D">
      <w:pPr>
        <w:pStyle w:val="ae"/>
        <w:numPr>
          <w:ilvl w:val="0"/>
          <w:numId w:val="4"/>
        </w:numPr>
        <w:jc w:val="both"/>
        <w:rPr>
          <w:rFonts w:ascii="Times New Roman" w:hAnsi="Times New Roman" w:cs="Times New Roman"/>
          <w:sz w:val="28"/>
          <w:szCs w:val="28"/>
        </w:rPr>
      </w:pPr>
      <w:r w:rsidRPr="0009732D">
        <w:rPr>
          <w:rFonts w:ascii="Times New Roman" w:hAnsi="Times New Roman" w:cs="Times New Roman"/>
          <w:sz w:val="28"/>
          <w:szCs w:val="28"/>
        </w:rPr>
        <w:t>відкритість і прозорість процедури розміщення ДСЗ;</w:t>
      </w:r>
    </w:p>
    <w:p w:rsidR="0009732D" w:rsidRDefault="0009732D" w:rsidP="0009732D">
      <w:pPr>
        <w:pStyle w:val="ae"/>
        <w:numPr>
          <w:ilvl w:val="0"/>
          <w:numId w:val="4"/>
        </w:numPr>
        <w:jc w:val="both"/>
        <w:rPr>
          <w:rFonts w:ascii="Times New Roman" w:hAnsi="Times New Roman" w:cs="Times New Roman"/>
          <w:sz w:val="28"/>
          <w:szCs w:val="28"/>
        </w:rPr>
      </w:pPr>
      <w:r w:rsidRPr="0009732D">
        <w:rPr>
          <w:rFonts w:ascii="Times New Roman" w:hAnsi="Times New Roman" w:cs="Times New Roman"/>
          <w:sz w:val="28"/>
          <w:szCs w:val="28"/>
        </w:rPr>
        <w:t>конкурсний відбір</w:t>
      </w:r>
      <w:r>
        <w:rPr>
          <w:rFonts w:ascii="Times New Roman" w:hAnsi="Times New Roman" w:cs="Times New Roman"/>
          <w:sz w:val="28"/>
          <w:szCs w:val="28"/>
        </w:rPr>
        <w:t xml:space="preserve"> виконавця ДСЗ, що фінансується шляхом надання не</w:t>
      </w:r>
      <w:r w:rsidR="00FF1EB5">
        <w:rPr>
          <w:rFonts w:ascii="Times New Roman" w:hAnsi="Times New Roman" w:cs="Times New Roman"/>
          <w:sz w:val="28"/>
          <w:szCs w:val="28"/>
        </w:rPr>
        <w:t>державним не</w:t>
      </w:r>
      <w:r>
        <w:rPr>
          <w:rFonts w:ascii="Times New Roman" w:hAnsi="Times New Roman" w:cs="Times New Roman"/>
          <w:sz w:val="28"/>
          <w:szCs w:val="28"/>
        </w:rPr>
        <w:t xml:space="preserve">комерційним </w:t>
      </w:r>
      <w:r w:rsidR="00FF1EB5">
        <w:rPr>
          <w:rFonts w:ascii="Times New Roman" w:hAnsi="Times New Roman" w:cs="Times New Roman"/>
          <w:sz w:val="28"/>
          <w:szCs w:val="28"/>
        </w:rPr>
        <w:t xml:space="preserve"> організаціям субсидій на надання соціальних послуг та реалізацію соціальних проектів;</w:t>
      </w:r>
    </w:p>
    <w:p w:rsidR="00FF1EB5" w:rsidRDefault="00FF1EB5" w:rsidP="0009732D">
      <w:pPr>
        <w:pStyle w:val="ae"/>
        <w:numPr>
          <w:ilvl w:val="0"/>
          <w:numId w:val="4"/>
        </w:numPr>
        <w:jc w:val="both"/>
        <w:rPr>
          <w:rFonts w:ascii="Times New Roman" w:hAnsi="Times New Roman" w:cs="Times New Roman"/>
          <w:sz w:val="28"/>
          <w:szCs w:val="28"/>
        </w:rPr>
      </w:pPr>
      <w:r>
        <w:rPr>
          <w:rFonts w:ascii="Times New Roman" w:hAnsi="Times New Roman" w:cs="Times New Roman"/>
          <w:sz w:val="28"/>
          <w:szCs w:val="28"/>
        </w:rPr>
        <w:t>єдність вимог, об’єктивність та рівний доступ до інформації про розміщення ДСЗ.</w:t>
      </w:r>
    </w:p>
    <w:p w:rsidR="00FF1EB5" w:rsidRDefault="00FF1EB5" w:rsidP="00FF1EB5">
      <w:pPr>
        <w:jc w:val="both"/>
        <w:rPr>
          <w:rFonts w:ascii="Times New Roman" w:hAnsi="Times New Roman" w:cs="Times New Roman"/>
          <w:sz w:val="28"/>
          <w:szCs w:val="28"/>
        </w:rPr>
      </w:pPr>
      <w:r>
        <w:rPr>
          <w:rFonts w:ascii="Times New Roman" w:hAnsi="Times New Roman" w:cs="Times New Roman"/>
          <w:sz w:val="28"/>
          <w:szCs w:val="28"/>
        </w:rPr>
        <w:t>Схема формування, розміщення та реалізація ДСЗ складається з таких ключових етапів:</w:t>
      </w:r>
    </w:p>
    <w:p w:rsidR="00FF1EB5" w:rsidRPr="00FF1EB5" w:rsidRDefault="00FF1EB5" w:rsidP="00FF1EB5">
      <w:pPr>
        <w:pStyle w:val="ae"/>
        <w:numPr>
          <w:ilvl w:val="0"/>
          <w:numId w:val="6"/>
        </w:numPr>
        <w:jc w:val="both"/>
        <w:rPr>
          <w:rFonts w:ascii="Times New Roman" w:hAnsi="Times New Roman" w:cs="Times New Roman"/>
          <w:sz w:val="28"/>
          <w:szCs w:val="28"/>
        </w:rPr>
      </w:pPr>
      <w:r>
        <w:rPr>
          <w:rFonts w:ascii="Times New Roman" w:hAnsi="Times New Roman" w:cs="Times New Roman"/>
          <w:sz w:val="28"/>
          <w:szCs w:val="28"/>
        </w:rPr>
        <w:t>р</w:t>
      </w:r>
      <w:r w:rsidRPr="00FF1EB5">
        <w:rPr>
          <w:rFonts w:ascii="Times New Roman" w:hAnsi="Times New Roman" w:cs="Times New Roman"/>
          <w:sz w:val="28"/>
          <w:szCs w:val="28"/>
        </w:rPr>
        <w:t>озробка та ухвалення державних планів, програм (у тому числі: проведення оцінки потреб та визначення розміру бюджетного фінансування)</w:t>
      </w:r>
      <w:r>
        <w:rPr>
          <w:rFonts w:ascii="Times New Roman" w:hAnsi="Times New Roman" w:cs="Times New Roman"/>
          <w:sz w:val="28"/>
          <w:szCs w:val="28"/>
        </w:rPr>
        <w:t>;</w:t>
      </w:r>
    </w:p>
    <w:p w:rsidR="00FF1EB5" w:rsidRDefault="00FF1EB5" w:rsidP="00FF1EB5">
      <w:pPr>
        <w:pStyle w:val="ae"/>
        <w:numPr>
          <w:ilvl w:val="0"/>
          <w:numId w:val="6"/>
        </w:numPr>
        <w:jc w:val="both"/>
        <w:rPr>
          <w:rFonts w:ascii="Times New Roman" w:hAnsi="Times New Roman" w:cs="Times New Roman"/>
          <w:sz w:val="28"/>
          <w:szCs w:val="28"/>
        </w:rPr>
      </w:pPr>
      <w:r>
        <w:rPr>
          <w:rFonts w:ascii="Times New Roman" w:hAnsi="Times New Roman" w:cs="Times New Roman"/>
          <w:sz w:val="28"/>
          <w:szCs w:val="28"/>
        </w:rPr>
        <w:t>р</w:t>
      </w:r>
      <w:r w:rsidRPr="00FF1EB5">
        <w:rPr>
          <w:rFonts w:ascii="Times New Roman" w:hAnsi="Times New Roman" w:cs="Times New Roman"/>
          <w:sz w:val="28"/>
          <w:szCs w:val="28"/>
        </w:rPr>
        <w:t>озробка технічного завдання</w:t>
      </w:r>
      <w:r>
        <w:rPr>
          <w:rFonts w:ascii="Times New Roman" w:hAnsi="Times New Roman" w:cs="Times New Roman"/>
          <w:sz w:val="28"/>
          <w:szCs w:val="28"/>
        </w:rPr>
        <w:t xml:space="preserve"> на ДСЗ (у тому числі: опис цільових груп, очікуваних результатів та показників для оцінки);</w:t>
      </w:r>
    </w:p>
    <w:p w:rsidR="00FF1EB5" w:rsidRDefault="00FF1EB5" w:rsidP="00FF1EB5">
      <w:pPr>
        <w:pStyle w:val="ae"/>
        <w:numPr>
          <w:ilvl w:val="0"/>
          <w:numId w:val="6"/>
        </w:numPr>
        <w:jc w:val="both"/>
        <w:rPr>
          <w:rFonts w:ascii="Times New Roman" w:hAnsi="Times New Roman" w:cs="Times New Roman"/>
          <w:sz w:val="28"/>
          <w:szCs w:val="28"/>
        </w:rPr>
      </w:pPr>
      <w:r>
        <w:rPr>
          <w:rFonts w:ascii="Times New Roman" w:hAnsi="Times New Roman" w:cs="Times New Roman"/>
          <w:sz w:val="28"/>
          <w:szCs w:val="28"/>
        </w:rPr>
        <w:t>вибір виконавця на основі затверджених процедур;</w:t>
      </w:r>
    </w:p>
    <w:p w:rsidR="00FF1EB5" w:rsidRDefault="00FF1EB5" w:rsidP="00FF1EB5">
      <w:pPr>
        <w:pStyle w:val="ae"/>
        <w:numPr>
          <w:ilvl w:val="0"/>
          <w:numId w:val="6"/>
        </w:numPr>
        <w:jc w:val="both"/>
        <w:rPr>
          <w:rFonts w:ascii="Times New Roman" w:hAnsi="Times New Roman" w:cs="Times New Roman"/>
          <w:sz w:val="28"/>
          <w:szCs w:val="28"/>
        </w:rPr>
      </w:pPr>
      <w:r>
        <w:rPr>
          <w:rFonts w:ascii="Times New Roman" w:hAnsi="Times New Roman" w:cs="Times New Roman"/>
          <w:sz w:val="28"/>
          <w:szCs w:val="28"/>
        </w:rPr>
        <w:t>укладання договору між замовником та виконавцем на виконання соціального замовлення;</w:t>
      </w:r>
    </w:p>
    <w:p w:rsidR="00FF1EB5" w:rsidRDefault="00FF1EB5" w:rsidP="00FF1EB5">
      <w:pPr>
        <w:pStyle w:val="ae"/>
        <w:numPr>
          <w:ilvl w:val="0"/>
          <w:numId w:val="6"/>
        </w:numPr>
        <w:jc w:val="both"/>
        <w:rPr>
          <w:rFonts w:ascii="Times New Roman" w:hAnsi="Times New Roman" w:cs="Times New Roman"/>
          <w:sz w:val="28"/>
          <w:szCs w:val="28"/>
        </w:rPr>
      </w:pPr>
      <w:r>
        <w:rPr>
          <w:rFonts w:ascii="Times New Roman" w:hAnsi="Times New Roman" w:cs="Times New Roman"/>
          <w:sz w:val="28"/>
          <w:szCs w:val="28"/>
        </w:rPr>
        <w:t>виконання ДСЗ;</w:t>
      </w:r>
    </w:p>
    <w:p w:rsidR="00FF1EB5" w:rsidRDefault="00FF1EB5" w:rsidP="00FF1EB5">
      <w:pPr>
        <w:pStyle w:val="ae"/>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моніторинг та оцінка виконання замовлення. </w:t>
      </w:r>
    </w:p>
    <w:p w:rsidR="00FF1EB5" w:rsidRDefault="00FF1EB5" w:rsidP="00FF1EB5">
      <w:pPr>
        <w:jc w:val="both"/>
        <w:rPr>
          <w:rFonts w:ascii="Times New Roman" w:hAnsi="Times New Roman" w:cs="Times New Roman"/>
          <w:sz w:val="28"/>
          <w:szCs w:val="28"/>
        </w:rPr>
      </w:pPr>
      <w:r>
        <w:rPr>
          <w:rFonts w:ascii="Times New Roman" w:hAnsi="Times New Roman" w:cs="Times New Roman"/>
          <w:sz w:val="28"/>
          <w:szCs w:val="28"/>
        </w:rPr>
        <w:t>Формування ДСЗ здійснює місцевими виконавчими та розпорядчими органами, місцевими Радами депутатів на основі заходів державних, галузевих та регіональних програм. Фактично передумовою для застосування ДСЗ є ухвалення відповідної програми, яка б зазначала необхідність застосування ДСЗ.</w:t>
      </w:r>
      <w:r w:rsidR="00153FC8">
        <w:rPr>
          <w:rFonts w:ascii="Times New Roman" w:hAnsi="Times New Roman" w:cs="Times New Roman"/>
          <w:sz w:val="28"/>
          <w:szCs w:val="28"/>
        </w:rPr>
        <w:t xml:space="preserve"> Ситуація ускладнюється тим</w:t>
      </w:r>
      <w:r w:rsidR="00614A7A">
        <w:rPr>
          <w:rFonts w:ascii="Times New Roman" w:hAnsi="Times New Roman" w:cs="Times New Roman"/>
          <w:sz w:val="28"/>
          <w:szCs w:val="28"/>
        </w:rPr>
        <w:t>, що в для застосування ДСЗ у випадку специфічних окремих соціальних послуг виникає обов’язкова потреба в галузевих програмах,Ю які мають ухвалювати інші міністерства (охорони здоров’я, освіти, внутрішніх справ тощо). Проте іншими відомствами вважається, що соціальні послуги – це прерогатива передусім міністерства праці та соціального захисту.</w:t>
      </w:r>
    </w:p>
    <w:p w:rsidR="00FF1EB5" w:rsidRDefault="00FF1EB5" w:rsidP="00FF1EB5">
      <w:pPr>
        <w:jc w:val="both"/>
        <w:rPr>
          <w:rFonts w:ascii="Times New Roman" w:hAnsi="Times New Roman" w:cs="Times New Roman"/>
          <w:sz w:val="28"/>
          <w:szCs w:val="28"/>
        </w:rPr>
      </w:pPr>
      <w:r>
        <w:rPr>
          <w:rFonts w:ascii="Times New Roman" w:hAnsi="Times New Roman" w:cs="Times New Roman"/>
          <w:sz w:val="28"/>
          <w:szCs w:val="28"/>
        </w:rPr>
        <w:t>Важливими етапом є аналіз соціально-економічної ситуації</w:t>
      </w:r>
      <w:r w:rsidR="005C1C91">
        <w:rPr>
          <w:rFonts w:ascii="Times New Roman" w:hAnsi="Times New Roman" w:cs="Times New Roman"/>
          <w:sz w:val="28"/>
          <w:szCs w:val="28"/>
        </w:rPr>
        <w:t xml:space="preserve"> в конкретному регіоні</w:t>
      </w:r>
      <w:r>
        <w:rPr>
          <w:rFonts w:ascii="Times New Roman" w:hAnsi="Times New Roman" w:cs="Times New Roman"/>
          <w:sz w:val="28"/>
          <w:szCs w:val="28"/>
        </w:rPr>
        <w:t xml:space="preserve"> та визначення потреби в тих чи інших послугах.</w:t>
      </w:r>
      <w:r w:rsidR="005C1C91">
        <w:rPr>
          <w:rFonts w:ascii="Times New Roman" w:hAnsi="Times New Roman" w:cs="Times New Roman"/>
          <w:sz w:val="28"/>
          <w:szCs w:val="28"/>
        </w:rPr>
        <w:t xml:space="preserve"> Для цього створюється міжвідомча група, яка має на 1/3 складатися з представників неурядових організацій. </w:t>
      </w:r>
      <w:r w:rsidR="00153FC8">
        <w:rPr>
          <w:rFonts w:ascii="Times New Roman" w:hAnsi="Times New Roman" w:cs="Times New Roman"/>
          <w:sz w:val="28"/>
          <w:szCs w:val="28"/>
        </w:rPr>
        <w:t xml:space="preserve">Ця група покликана здійснити моніторинг соціально-демографічної ситуації в регіоні, визначити проблеми в сфері соціального обслуговування з визначенням категорії населення, що потребує соціальних послуг, скласти </w:t>
      </w:r>
      <w:r w:rsidR="00153FC8">
        <w:rPr>
          <w:rFonts w:ascii="Times New Roman" w:hAnsi="Times New Roman" w:cs="Times New Roman"/>
          <w:sz w:val="28"/>
          <w:szCs w:val="28"/>
        </w:rPr>
        <w:lastRenderedPageBreak/>
        <w:t>перелік та обсяг соціальних послуг, в яких є потреба у населення, оцінити можливість вирішення проблем засобом ДСЗ на надання соціальних послуг та реалізацію соціальних проектів.</w:t>
      </w:r>
    </w:p>
    <w:p w:rsidR="005C1C91" w:rsidRDefault="005C1C91" w:rsidP="00FF1EB5">
      <w:pPr>
        <w:jc w:val="both"/>
        <w:rPr>
          <w:rFonts w:ascii="Times New Roman" w:hAnsi="Times New Roman" w:cs="Times New Roman"/>
          <w:sz w:val="28"/>
          <w:szCs w:val="28"/>
        </w:rPr>
      </w:pPr>
      <w:r>
        <w:rPr>
          <w:rFonts w:ascii="Times New Roman" w:hAnsi="Times New Roman" w:cs="Times New Roman"/>
          <w:sz w:val="28"/>
          <w:szCs w:val="28"/>
        </w:rPr>
        <w:t>При здійсненні фінансування виконавців ДСЗ застосовується дві форми:</w:t>
      </w:r>
    </w:p>
    <w:p w:rsidR="005C1C91" w:rsidRDefault="005C1C91" w:rsidP="005C1C91">
      <w:pPr>
        <w:pStyle w:val="ae"/>
        <w:numPr>
          <w:ilvl w:val="0"/>
          <w:numId w:val="7"/>
        </w:numPr>
        <w:jc w:val="both"/>
        <w:rPr>
          <w:rFonts w:ascii="Times New Roman" w:hAnsi="Times New Roman" w:cs="Times New Roman"/>
          <w:sz w:val="28"/>
          <w:szCs w:val="28"/>
        </w:rPr>
      </w:pPr>
      <w:r>
        <w:rPr>
          <w:rFonts w:ascii="Times New Roman" w:hAnsi="Times New Roman" w:cs="Times New Roman"/>
          <w:sz w:val="28"/>
          <w:szCs w:val="28"/>
        </w:rPr>
        <w:t>державні закупівлі послуг (здійснюються за порядком визначеним законодавством про державні закупівлі);</w:t>
      </w:r>
    </w:p>
    <w:p w:rsidR="005C1C91" w:rsidRDefault="005C1C91" w:rsidP="005C1C91">
      <w:pPr>
        <w:pStyle w:val="ae"/>
        <w:numPr>
          <w:ilvl w:val="0"/>
          <w:numId w:val="7"/>
        </w:numPr>
        <w:jc w:val="both"/>
        <w:rPr>
          <w:rFonts w:ascii="Times New Roman" w:hAnsi="Times New Roman" w:cs="Times New Roman"/>
          <w:sz w:val="28"/>
          <w:szCs w:val="28"/>
        </w:rPr>
      </w:pPr>
      <w:r>
        <w:rPr>
          <w:rFonts w:ascii="Times New Roman" w:hAnsi="Times New Roman" w:cs="Times New Roman"/>
          <w:sz w:val="28"/>
          <w:szCs w:val="28"/>
        </w:rPr>
        <w:t>надання недержавним неком</w:t>
      </w:r>
      <w:r w:rsidR="00153FC8">
        <w:rPr>
          <w:rFonts w:ascii="Times New Roman" w:hAnsi="Times New Roman" w:cs="Times New Roman"/>
          <w:sz w:val="28"/>
          <w:szCs w:val="28"/>
        </w:rPr>
        <w:t>ерційним організаціям субсидій н</w:t>
      </w:r>
      <w:r>
        <w:rPr>
          <w:rFonts w:ascii="Times New Roman" w:hAnsi="Times New Roman" w:cs="Times New Roman"/>
          <w:sz w:val="28"/>
          <w:szCs w:val="28"/>
        </w:rPr>
        <w:t>а надання соціальних послуг та реалізацію соціальних проектів (умови та порядок застосування цієї форми визначається Урядом</w:t>
      </w:r>
      <w:r w:rsidR="00153FC8">
        <w:rPr>
          <w:rStyle w:val="ac"/>
          <w:rFonts w:ascii="Times New Roman" w:hAnsi="Times New Roman" w:cs="Times New Roman"/>
          <w:sz w:val="28"/>
          <w:szCs w:val="28"/>
        </w:rPr>
        <w:footnoteReference w:id="4"/>
      </w:r>
      <w:r>
        <w:rPr>
          <w:rFonts w:ascii="Times New Roman" w:hAnsi="Times New Roman" w:cs="Times New Roman"/>
          <w:sz w:val="28"/>
          <w:szCs w:val="28"/>
        </w:rPr>
        <w:t>).</w:t>
      </w:r>
    </w:p>
    <w:p w:rsidR="005C1C91" w:rsidRDefault="00153FC8" w:rsidP="005C1C91">
      <w:pPr>
        <w:jc w:val="both"/>
        <w:rPr>
          <w:rFonts w:ascii="Times New Roman" w:hAnsi="Times New Roman" w:cs="Times New Roman"/>
          <w:sz w:val="28"/>
          <w:szCs w:val="28"/>
        </w:rPr>
      </w:pPr>
      <w:r>
        <w:rPr>
          <w:rFonts w:ascii="Times New Roman" w:hAnsi="Times New Roman" w:cs="Times New Roman"/>
          <w:sz w:val="28"/>
          <w:szCs w:val="28"/>
        </w:rPr>
        <w:t>З часу запровадження ДСЗ (січень 2013 року) в країні укладено біля 80 договорів</w:t>
      </w:r>
      <w:r w:rsidR="00614A7A">
        <w:rPr>
          <w:rFonts w:ascii="Times New Roman" w:hAnsi="Times New Roman" w:cs="Times New Roman"/>
          <w:sz w:val="28"/>
          <w:szCs w:val="28"/>
        </w:rPr>
        <w:t xml:space="preserve"> за результатами проведених конкурсів.</w:t>
      </w:r>
    </w:p>
    <w:p w:rsidR="00614A7A" w:rsidRDefault="00614A7A" w:rsidP="005C1C91">
      <w:pPr>
        <w:jc w:val="both"/>
        <w:rPr>
          <w:rFonts w:ascii="Times New Roman" w:hAnsi="Times New Roman" w:cs="Times New Roman"/>
          <w:sz w:val="28"/>
          <w:szCs w:val="28"/>
        </w:rPr>
      </w:pPr>
      <w:r>
        <w:rPr>
          <w:rFonts w:ascii="Times New Roman" w:hAnsi="Times New Roman" w:cs="Times New Roman"/>
          <w:sz w:val="28"/>
          <w:szCs w:val="28"/>
        </w:rPr>
        <w:t>Форма субсидіювання передбачає надання субсидій недержавній некомерційній організації для надання нею конкретної соціальної послуги. Фінансування здійснюється на компенсаційній основі та має покривати лише витрати, пов’язані з виплатою заробітної плати працівникам організації та відповідні нарахування на фонд заробітної плати. При цьому визначення витрат має відбуватися відповідно до умов оплати праці працівників бюджетних організацій</w:t>
      </w:r>
      <w:r w:rsidR="00F43404">
        <w:rPr>
          <w:rFonts w:ascii="Times New Roman" w:hAnsi="Times New Roman" w:cs="Times New Roman"/>
          <w:sz w:val="28"/>
          <w:szCs w:val="28"/>
        </w:rPr>
        <w:t xml:space="preserve"> та інших організацій, що отримують субсидії, працівники яких прирівнюються по оплаті праці до працівників бюджетних установ. Тобто фактично неурядові некомерційні організації мають послуговуватися нормативами, які застосовують державні організації.</w:t>
      </w:r>
    </w:p>
    <w:p w:rsidR="00F43404" w:rsidRPr="00495F90" w:rsidRDefault="00F43404" w:rsidP="005C1C91">
      <w:pPr>
        <w:jc w:val="both"/>
        <w:rPr>
          <w:rFonts w:ascii="Times New Roman" w:hAnsi="Times New Roman" w:cs="Times New Roman"/>
          <w:sz w:val="28"/>
          <w:szCs w:val="28"/>
        </w:rPr>
      </w:pPr>
      <w:r>
        <w:rPr>
          <w:rFonts w:ascii="Times New Roman" w:hAnsi="Times New Roman" w:cs="Times New Roman"/>
          <w:sz w:val="28"/>
          <w:szCs w:val="28"/>
        </w:rPr>
        <w:t>Інша форма субсидіювання передбачає надання субсидій недержавним некомерційним організаціям грантів (хоча саме поняття не застосовується) або іншими словами тих же субсидій на впровадження соціальних проектів, які мають бути спрямовані на вирішення соціальних проблем громадян, що перебувають в складній життєвій ситуації. При цьому субсидія (грант) має покривати лише 50% бюджету соціального проекту.</w:t>
      </w:r>
      <w:r w:rsidR="00495F90" w:rsidRPr="00495F90">
        <w:rPr>
          <w:rFonts w:ascii="Times New Roman" w:hAnsi="Times New Roman" w:cs="Times New Roman"/>
          <w:sz w:val="28"/>
          <w:szCs w:val="28"/>
          <w:lang w:val="ru-RU"/>
        </w:rPr>
        <w:t xml:space="preserve"> </w:t>
      </w:r>
      <w:r w:rsidR="00495F90">
        <w:rPr>
          <w:rFonts w:ascii="Times New Roman" w:hAnsi="Times New Roman" w:cs="Times New Roman"/>
          <w:sz w:val="28"/>
          <w:szCs w:val="28"/>
        </w:rPr>
        <w:t>Ця форма використовується дуже рідко, оскільки охочих організацій дуже мало через недосконалий механізм самого фінансування, а звідси й страх бути покараним за нецільове використання бюджетних коштів.</w:t>
      </w:r>
    </w:p>
    <w:p w:rsidR="00F43404" w:rsidRDefault="00F43404" w:rsidP="005C1C91">
      <w:pPr>
        <w:jc w:val="both"/>
        <w:rPr>
          <w:rFonts w:ascii="Times New Roman" w:hAnsi="Times New Roman" w:cs="Times New Roman"/>
          <w:sz w:val="28"/>
          <w:szCs w:val="28"/>
        </w:rPr>
      </w:pPr>
      <w:r>
        <w:rPr>
          <w:rFonts w:ascii="Times New Roman" w:hAnsi="Times New Roman" w:cs="Times New Roman"/>
          <w:sz w:val="28"/>
          <w:szCs w:val="28"/>
        </w:rPr>
        <w:t xml:space="preserve">Усі оголошення про закупівлю соціальних послуг чи конкурс в межах ДСЗ розміщуються на офіційному сайті </w:t>
      </w:r>
      <w:hyperlink r:id="rId9" w:history="1">
        <w:r w:rsidRPr="00E137EE">
          <w:rPr>
            <w:rStyle w:val="ad"/>
            <w:rFonts w:ascii="Times New Roman" w:hAnsi="Times New Roman" w:cs="Times New Roman"/>
            <w:sz w:val="28"/>
            <w:szCs w:val="28"/>
          </w:rPr>
          <w:t>http://www.icetrade.by/</w:t>
        </w:r>
      </w:hyperlink>
      <w:r>
        <w:rPr>
          <w:rFonts w:ascii="Times New Roman" w:hAnsi="Times New Roman" w:cs="Times New Roman"/>
          <w:sz w:val="28"/>
          <w:szCs w:val="28"/>
        </w:rPr>
        <w:t xml:space="preserve">  (</w:t>
      </w:r>
      <w:r>
        <w:rPr>
          <w:rFonts w:ascii="Times New Roman" w:hAnsi="Times New Roman" w:cs="Times New Roman"/>
          <w:sz w:val="28"/>
          <w:szCs w:val="28"/>
          <w:lang w:val="en-US"/>
        </w:rPr>
        <w:t>Internet</w:t>
      </w:r>
      <w:r w:rsidRPr="00F43404">
        <w:rPr>
          <w:rFonts w:ascii="Times New Roman" w:hAnsi="Times New Roman" w:cs="Times New Roman"/>
          <w:sz w:val="28"/>
          <w:szCs w:val="28"/>
        </w:rPr>
        <w:t xml:space="preserve"> </w:t>
      </w:r>
      <w:r>
        <w:rPr>
          <w:rFonts w:ascii="Times New Roman" w:hAnsi="Times New Roman" w:cs="Times New Roman"/>
          <w:sz w:val="28"/>
          <w:szCs w:val="28"/>
          <w:lang w:val="en-US"/>
        </w:rPr>
        <w:t>Centre</w:t>
      </w:r>
      <w:r w:rsidRPr="00F43404">
        <w:rPr>
          <w:rFonts w:ascii="Times New Roman" w:hAnsi="Times New Roman" w:cs="Times New Roman"/>
          <w:sz w:val="28"/>
          <w:szCs w:val="28"/>
        </w:rPr>
        <w:t xml:space="preserve"> </w:t>
      </w:r>
      <w:r>
        <w:rPr>
          <w:rFonts w:ascii="Times New Roman" w:hAnsi="Times New Roman" w:cs="Times New Roman"/>
          <w:sz w:val="28"/>
          <w:szCs w:val="28"/>
          <w:lang w:val="en-US"/>
        </w:rPr>
        <w:t>of</w:t>
      </w:r>
      <w:r w:rsidRPr="00F43404">
        <w:rPr>
          <w:rFonts w:ascii="Times New Roman" w:hAnsi="Times New Roman" w:cs="Times New Roman"/>
          <w:sz w:val="28"/>
          <w:szCs w:val="28"/>
        </w:rPr>
        <w:t xml:space="preserve"> </w:t>
      </w:r>
      <w:r>
        <w:rPr>
          <w:rFonts w:ascii="Times New Roman" w:hAnsi="Times New Roman" w:cs="Times New Roman"/>
          <w:sz w:val="28"/>
          <w:szCs w:val="28"/>
          <w:lang w:val="en-US"/>
        </w:rPr>
        <w:t>Electronic</w:t>
      </w:r>
      <w:r w:rsidRPr="00F43404">
        <w:rPr>
          <w:rFonts w:ascii="Times New Roman" w:hAnsi="Times New Roman" w:cs="Times New Roman"/>
          <w:sz w:val="28"/>
          <w:szCs w:val="28"/>
        </w:rPr>
        <w:t xml:space="preserve"> </w:t>
      </w:r>
      <w:r>
        <w:rPr>
          <w:rFonts w:ascii="Times New Roman" w:hAnsi="Times New Roman" w:cs="Times New Roman"/>
          <w:sz w:val="28"/>
          <w:szCs w:val="28"/>
          <w:lang w:val="en-US"/>
        </w:rPr>
        <w:t>Trade</w:t>
      </w:r>
      <w:r w:rsidR="00495F90">
        <w:rPr>
          <w:rFonts w:ascii="Times New Roman" w:hAnsi="Times New Roman" w:cs="Times New Roman"/>
          <w:sz w:val="28"/>
          <w:szCs w:val="28"/>
        </w:rPr>
        <w:t>).</w:t>
      </w:r>
    </w:p>
    <w:p w:rsidR="0009732D" w:rsidRDefault="00495F90" w:rsidP="003D18FF">
      <w:pPr>
        <w:jc w:val="both"/>
        <w:rPr>
          <w:rFonts w:ascii="Times New Roman" w:hAnsi="Times New Roman" w:cs="Times New Roman"/>
          <w:sz w:val="28"/>
          <w:szCs w:val="28"/>
        </w:rPr>
      </w:pPr>
      <w:r>
        <w:rPr>
          <w:rFonts w:ascii="Times New Roman" w:hAnsi="Times New Roman" w:cs="Times New Roman"/>
          <w:sz w:val="28"/>
          <w:szCs w:val="28"/>
        </w:rPr>
        <w:t xml:space="preserve">Замовником ДСЗ, що фінансується шляхом надання недержавним некомерційними організаціям субсидій на надання соціальних послуг та </w:t>
      </w:r>
      <w:r>
        <w:rPr>
          <w:rFonts w:ascii="Times New Roman" w:hAnsi="Times New Roman" w:cs="Times New Roman"/>
          <w:sz w:val="28"/>
          <w:szCs w:val="28"/>
        </w:rPr>
        <w:lastRenderedPageBreak/>
        <w:t>реалізацію соціальних проектів</w:t>
      </w:r>
      <w:r w:rsidR="00027E28">
        <w:rPr>
          <w:rFonts w:ascii="Times New Roman" w:hAnsi="Times New Roman" w:cs="Times New Roman"/>
          <w:sz w:val="28"/>
          <w:szCs w:val="28"/>
        </w:rPr>
        <w:t xml:space="preserve"> виступають місцеві Ради депутатів, місцеві виконавчі та розпорядчі органи. Ці ж органи влади розміщують ДСЗ та контролюють його виконання, а також оцінюють результати. На сьогодні методика моніторингу та оцінки якості виконання ДСЗ лише розробляється. Окрім того, замовник ДСЗ укладає договори з виконавцем, надає виконавцеві ДСЗ інформаційну та консультаційну, методичну, організаційно-технічну допомогу.</w:t>
      </w:r>
    </w:p>
    <w:p w:rsidR="00DD016E" w:rsidRDefault="00DD016E" w:rsidP="003D18FF">
      <w:pPr>
        <w:jc w:val="both"/>
        <w:rPr>
          <w:rFonts w:ascii="Times New Roman" w:hAnsi="Times New Roman" w:cs="Times New Roman"/>
          <w:sz w:val="28"/>
          <w:szCs w:val="28"/>
        </w:rPr>
      </w:pPr>
      <w:r>
        <w:rPr>
          <w:rFonts w:ascii="Times New Roman" w:hAnsi="Times New Roman" w:cs="Times New Roman"/>
          <w:sz w:val="28"/>
          <w:szCs w:val="28"/>
        </w:rPr>
        <w:t>Досить проблематичним є зробити вичерпну характеристику сектору недержавних некомерційних організацій, які надають соціальні послуги. Не дивлячись на те, що існує перелік організацій із відповідними статутними цілями, що зареєстровані Міністерством юстиції, все ж таки на думку експертів він є неповним. Відповідно до даних</w:t>
      </w:r>
      <w:r w:rsidR="00A82407">
        <w:rPr>
          <w:rFonts w:ascii="Times New Roman" w:hAnsi="Times New Roman" w:cs="Times New Roman"/>
          <w:sz w:val="28"/>
          <w:szCs w:val="28"/>
        </w:rPr>
        <w:t xml:space="preserve"> спеціалізованої бази даних «Білорусь соціальна» (створена Білоруською асоціацією соціальних працівників) існує десь 7200 організацій, включаючи державні, громадські, релігійні, профспілкові та комерційні організації республіки.</w:t>
      </w:r>
    </w:p>
    <w:p w:rsidR="00A82407" w:rsidRDefault="00A82407" w:rsidP="003D18FF">
      <w:pPr>
        <w:jc w:val="both"/>
        <w:rPr>
          <w:rFonts w:ascii="Times New Roman" w:hAnsi="Times New Roman" w:cs="Times New Roman"/>
          <w:sz w:val="28"/>
          <w:szCs w:val="28"/>
        </w:rPr>
      </w:pPr>
      <w:r>
        <w:rPr>
          <w:rFonts w:ascii="Times New Roman" w:hAnsi="Times New Roman" w:cs="Times New Roman"/>
          <w:sz w:val="28"/>
          <w:szCs w:val="28"/>
        </w:rPr>
        <w:t>Також на думку експертів, існує певного роду монополія на надання соціальних послуг. Таким монополістом визнається Білоруське Товариство Червоного Хреста. Особливий статус організації визначається спеціальним законом.</w:t>
      </w:r>
    </w:p>
    <w:p w:rsidR="00A82407" w:rsidRDefault="00A82407" w:rsidP="003D18FF">
      <w:pPr>
        <w:jc w:val="both"/>
        <w:rPr>
          <w:rFonts w:ascii="Times New Roman" w:hAnsi="Times New Roman" w:cs="Times New Roman"/>
          <w:sz w:val="28"/>
          <w:szCs w:val="28"/>
        </w:rPr>
      </w:pPr>
      <w:r>
        <w:rPr>
          <w:rFonts w:ascii="Times New Roman" w:hAnsi="Times New Roman" w:cs="Times New Roman"/>
          <w:sz w:val="28"/>
          <w:szCs w:val="28"/>
        </w:rPr>
        <w:t xml:space="preserve">Існують також «традиційні» неурядові організації типу Білоруське товариство інвалідів, Білоруське товариство глухих, республіканська асоціація </w:t>
      </w:r>
      <w:proofErr w:type="spellStart"/>
      <w:r>
        <w:rPr>
          <w:rFonts w:ascii="Times New Roman" w:hAnsi="Times New Roman" w:cs="Times New Roman"/>
          <w:sz w:val="28"/>
          <w:szCs w:val="28"/>
        </w:rPr>
        <w:t>інвалідів-колясочників</w:t>
      </w:r>
      <w:proofErr w:type="spellEnd"/>
      <w:r>
        <w:rPr>
          <w:rFonts w:ascii="Times New Roman" w:hAnsi="Times New Roman" w:cs="Times New Roman"/>
          <w:sz w:val="28"/>
          <w:szCs w:val="28"/>
        </w:rPr>
        <w:t>, які також користуються певною додатковою протекцією з боку держави та є до певної міри монополістами в надання соціальних послуг для власної цільової аудиторії.</w:t>
      </w:r>
    </w:p>
    <w:p w:rsidR="00A82407" w:rsidRDefault="00416947" w:rsidP="003D18FF">
      <w:pPr>
        <w:jc w:val="both"/>
        <w:rPr>
          <w:rFonts w:ascii="Times New Roman" w:hAnsi="Times New Roman" w:cs="Times New Roman"/>
          <w:sz w:val="28"/>
          <w:szCs w:val="28"/>
        </w:rPr>
      </w:pPr>
      <w:r>
        <w:rPr>
          <w:rFonts w:ascii="Times New Roman" w:hAnsi="Times New Roman" w:cs="Times New Roman"/>
          <w:sz w:val="28"/>
          <w:szCs w:val="28"/>
        </w:rPr>
        <w:t>Оцінюючі неурядовий сектор надання соціальних послу, також треба зазначити, що законодавство Білорусі про громадські організації встановлює заборону займатися таким організаціям господарської діяльністю, а, отже, надавати платні послуги. Також громадські організації мають соціальні послуги надавати на безоплатній основі. Фактично це звужує як можливості, так і спроможність громадських організацій бути впливовими гравцями в секторі надання соціальних послуг.</w:t>
      </w:r>
    </w:p>
    <w:p w:rsidR="00416947" w:rsidRDefault="00416947" w:rsidP="003D18FF">
      <w:pPr>
        <w:jc w:val="both"/>
        <w:rPr>
          <w:rFonts w:ascii="Times New Roman" w:hAnsi="Times New Roman" w:cs="Times New Roman"/>
          <w:sz w:val="28"/>
          <w:szCs w:val="28"/>
        </w:rPr>
      </w:pPr>
      <w:r>
        <w:rPr>
          <w:rFonts w:ascii="Times New Roman" w:hAnsi="Times New Roman" w:cs="Times New Roman"/>
          <w:sz w:val="28"/>
          <w:szCs w:val="28"/>
        </w:rPr>
        <w:t>Підсумовуючи, варто зазначити, що Білорусь хоч і має законодавчо визначену систему ДСЗ, проте жорстке державне регулювання самої сфери соціальних послуг, централізація системи надання таких послуг в руках державних організацій та установ стримує розвиток недержавного сектора надання соціальних послуг. Це в свою чергу впливає як на якість таких послуг, а також на урізноманітнення таких послуг у відповідності до потреб самих громадян.</w:t>
      </w:r>
    </w:p>
    <w:p w:rsidR="00A64E47" w:rsidRPr="00027E28" w:rsidRDefault="00A64E47" w:rsidP="003D18FF">
      <w:pPr>
        <w:jc w:val="both"/>
        <w:rPr>
          <w:rFonts w:ascii="Times New Roman" w:hAnsi="Times New Roman" w:cs="Times New Roman"/>
          <w:sz w:val="28"/>
          <w:szCs w:val="28"/>
        </w:rPr>
      </w:pPr>
      <w:bookmarkStart w:id="0" w:name="_GoBack"/>
      <w:bookmarkEnd w:id="0"/>
    </w:p>
    <w:sectPr w:rsidR="00A64E47" w:rsidRPr="00027E2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DAD" w:rsidRDefault="00415DAD" w:rsidP="00695C14">
      <w:pPr>
        <w:spacing w:after="0" w:line="240" w:lineRule="auto"/>
      </w:pPr>
      <w:r>
        <w:separator/>
      </w:r>
    </w:p>
  </w:endnote>
  <w:endnote w:type="continuationSeparator" w:id="0">
    <w:p w:rsidR="00415DAD" w:rsidRDefault="00415DAD" w:rsidP="00695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DAD" w:rsidRDefault="00415DAD" w:rsidP="00695C14">
      <w:pPr>
        <w:spacing w:after="0" w:line="240" w:lineRule="auto"/>
      </w:pPr>
      <w:r>
        <w:separator/>
      </w:r>
    </w:p>
  </w:footnote>
  <w:footnote w:type="continuationSeparator" w:id="0">
    <w:p w:rsidR="00415DAD" w:rsidRDefault="00415DAD" w:rsidP="00695C14">
      <w:pPr>
        <w:spacing w:after="0" w:line="240" w:lineRule="auto"/>
      </w:pPr>
      <w:r>
        <w:continuationSeparator/>
      </w:r>
    </w:p>
  </w:footnote>
  <w:footnote w:id="1">
    <w:p w:rsidR="00695C14" w:rsidRDefault="00695C14">
      <w:pPr>
        <w:pStyle w:val="aa"/>
      </w:pPr>
      <w:r>
        <w:rPr>
          <w:rStyle w:val="ac"/>
        </w:rPr>
        <w:footnoteRef/>
      </w:r>
      <w:r>
        <w:t xml:space="preserve"> </w:t>
      </w:r>
      <w:hyperlink r:id="rId1" w:history="1">
        <w:r w:rsidRPr="00E137EE">
          <w:rPr>
            <w:rStyle w:val="ad"/>
          </w:rPr>
          <w:t>http://www.economy.gov.by/dadvfiles/001252_122016_1.pdf</w:t>
        </w:r>
      </w:hyperlink>
      <w:r>
        <w:t xml:space="preserve"> </w:t>
      </w:r>
    </w:p>
  </w:footnote>
  <w:footnote w:id="2">
    <w:p w:rsidR="003217B0" w:rsidRDefault="003217B0">
      <w:pPr>
        <w:pStyle w:val="aa"/>
      </w:pPr>
    </w:p>
  </w:footnote>
  <w:footnote w:id="3">
    <w:p w:rsidR="00DD016E" w:rsidRDefault="00DD016E">
      <w:pPr>
        <w:pStyle w:val="aa"/>
      </w:pPr>
      <w:r>
        <w:rPr>
          <w:rStyle w:val="ac"/>
        </w:rPr>
        <w:footnoteRef/>
      </w:r>
      <w:r>
        <w:t xml:space="preserve"> </w:t>
      </w:r>
      <w:hyperlink r:id="rId2" w:history="1">
        <w:r w:rsidRPr="00E137EE">
          <w:rPr>
            <w:rStyle w:val="ad"/>
          </w:rPr>
          <w:t>http://mintrud.gov.by/ru/new_url_375140128</w:t>
        </w:r>
      </w:hyperlink>
      <w:r>
        <w:t xml:space="preserve"> </w:t>
      </w:r>
    </w:p>
  </w:footnote>
  <w:footnote w:id="4">
    <w:p w:rsidR="00153FC8" w:rsidRDefault="00153FC8">
      <w:pPr>
        <w:pStyle w:val="aa"/>
      </w:pPr>
      <w:r>
        <w:rPr>
          <w:rStyle w:val="ac"/>
        </w:rPr>
        <w:footnoteRef/>
      </w:r>
      <w:r>
        <w:t xml:space="preserve"> </w:t>
      </w:r>
      <w:proofErr w:type="spellStart"/>
      <w:r>
        <w:t>Постановление</w:t>
      </w:r>
      <w:proofErr w:type="spellEnd"/>
      <w:r>
        <w:t xml:space="preserve"> </w:t>
      </w:r>
      <w:proofErr w:type="spellStart"/>
      <w:r>
        <w:t>Совета</w:t>
      </w:r>
      <w:proofErr w:type="spellEnd"/>
      <w:r>
        <w:t xml:space="preserve"> </w:t>
      </w:r>
      <w:proofErr w:type="spellStart"/>
      <w:r>
        <w:t>Министров</w:t>
      </w:r>
      <w:proofErr w:type="spellEnd"/>
      <w:r>
        <w:t xml:space="preserve"> </w:t>
      </w:r>
      <w:proofErr w:type="spellStart"/>
      <w:r>
        <w:t>Республики</w:t>
      </w:r>
      <w:proofErr w:type="spellEnd"/>
      <w:r>
        <w:t xml:space="preserve"> </w:t>
      </w:r>
      <w:proofErr w:type="spellStart"/>
      <w:r>
        <w:t>Беларусь</w:t>
      </w:r>
      <w:proofErr w:type="spellEnd"/>
      <w:r>
        <w:t xml:space="preserve"> от 27.12.2012 № 1219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66C2"/>
    <w:multiLevelType w:val="hybridMultilevel"/>
    <w:tmpl w:val="C1F454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FB04885"/>
    <w:multiLevelType w:val="hybridMultilevel"/>
    <w:tmpl w:val="BBD437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B9D6C03"/>
    <w:multiLevelType w:val="multilevel"/>
    <w:tmpl w:val="207CA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3095A"/>
    <w:multiLevelType w:val="hybridMultilevel"/>
    <w:tmpl w:val="F5D8F6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5F30D3F"/>
    <w:multiLevelType w:val="hybridMultilevel"/>
    <w:tmpl w:val="DC9005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9566296"/>
    <w:multiLevelType w:val="hybridMultilevel"/>
    <w:tmpl w:val="B7A23D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AA34BE6"/>
    <w:multiLevelType w:val="hybridMultilevel"/>
    <w:tmpl w:val="0A3026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FF"/>
    <w:rsid w:val="00027E28"/>
    <w:rsid w:val="00084355"/>
    <w:rsid w:val="0009732D"/>
    <w:rsid w:val="00153FC8"/>
    <w:rsid w:val="0019083D"/>
    <w:rsid w:val="003217B0"/>
    <w:rsid w:val="003D18FF"/>
    <w:rsid w:val="00415DAD"/>
    <w:rsid w:val="00416947"/>
    <w:rsid w:val="00491405"/>
    <w:rsid w:val="00495F90"/>
    <w:rsid w:val="004B6EF0"/>
    <w:rsid w:val="005C1C91"/>
    <w:rsid w:val="00614A7A"/>
    <w:rsid w:val="00682797"/>
    <w:rsid w:val="00695C14"/>
    <w:rsid w:val="007D491E"/>
    <w:rsid w:val="00A64E47"/>
    <w:rsid w:val="00A82407"/>
    <w:rsid w:val="00C80700"/>
    <w:rsid w:val="00D955BB"/>
    <w:rsid w:val="00DB66D4"/>
    <w:rsid w:val="00DD016E"/>
    <w:rsid w:val="00E31393"/>
    <w:rsid w:val="00EC72D9"/>
    <w:rsid w:val="00EF6436"/>
    <w:rsid w:val="00F34E72"/>
    <w:rsid w:val="00F43404"/>
    <w:rsid w:val="00FF1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1405"/>
    <w:pPr>
      <w:autoSpaceDE w:val="0"/>
      <w:autoSpaceDN w:val="0"/>
      <w:adjustRightInd w:val="0"/>
      <w:spacing w:after="0" w:line="240" w:lineRule="auto"/>
    </w:pPr>
    <w:rPr>
      <w:rFonts w:ascii="Calibri" w:hAnsi="Calibri" w:cs="Calibri"/>
      <w:color w:val="000000"/>
      <w:sz w:val="24"/>
      <w:szCs w:val="24"/>
    </w:rPr>
  </w:style>
  <w:style w:type="character" w:styleId="a3">
    <w:name w:val="annotation reference"/>
    <w:basedOn w:val="a0"/>
    <w:uiPriority w:val="99"/>
    <w:semiHidden/>
    <w:unhideWhenUsed/>
    <w:rsid w:val="00491405"/>
    <w:rPr>
      <w:sz w:val="16"/>
      <w:szCs w:val="16"/>
    </w:rPr>
  </w:style>
  <w:style w:type="paragraph" w:styleId="a4">
    <w:name w:val="annotation text"/>
    <w:basedOn w:val="a"/>
    <w:link w:val="a5"/>
    <w:uiPriority w:val="99"/>
    <w:semiHidden/>
    <w:unhideWhenUsed/>
    <w:rsid w:val="00491405"/>
    <w:pPr>
      <w:spacing w:line="240" w:lineRule="auto"/>
    </w:pPr>
    <w:rPr>
      <w:sz w:val="20"/>
      <w:szCs w:val="20"/>
    </w:rPr>
  </w:style>
  <w:style w:type="character" w:customStyle="1" w:styleId="a5">
    <w:name w:val="Текст примечания Знак"/>
    <w:basedOn w:val="a0"/>
    <w:link w:val="a4"/>
    <w:uiPriority w:val="99"/>
    <w:semiHidden/>
    <w:rsid w:val="00491405"/>
    <w:rPr>
      <w:sz w:val="20"/>
      <w:szCs w:val="20"/>
    </w:rPr>
  </w:style>
  <w:style w:type="paragraph" w:styleId="a6">
    <w:name w:val="annotation subject"/>
    <w:basedOn w:val="a4"/>
    <w:next w:val="a4"/>
    <w:link w:val="a7"/>
    <w:uiPriority w:val="99"/>
    <w:semiHidden/>
    <w:unhideWhenUsed/>
    <w:rsid w:val="00491405"/>
    <w:rPr>
      <w:b/>
      <w:bCs/>
    </w:rPr>
  </w:style>
  <w:style w:type="character" w:customStyle="1" w:styleId="a7">
    <w:name w:val="Тема примечания Знак"/>
    <w:basedOn w:val="a5"/>
    <w:link w:val="a6"/>
    <w:uiPriority w:val="99"/>
    <w:semiHidden/>
    <w:rsid w:val="00491405"/>
    <w:rPr>
      <w:b/>
      <w:bCs/>
      <w:sz w:val="20"/>
      <w:szCs w:val="20"/>
    </w:rPr>
  </w:style>
  <w:style w:type="paragraph" w:styleId="a8">
    <w:name w:val="Balloon Text"/>
    <w:basedOn w:val="a"/>
    <w:link w:val="a9"/>
    <w:uiPriority w:val="99"/>
    <w:semiHidden/>
    <w:unhideWhenUsed/>
    <w:rsid w:val="004914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91405"/>
    <w:rPr>
      <w:rFonts w:ascii="Tahoma" w:hAnsi="Tahoma" w:cs="Tahoma"/>
      <w:sz w:val="16"/>
      <w:szCs w:val="16"/>
    </w:rPr>
  </w:style>
  <w:style w:type="paragraph" w:styleId="aa">
    <w:name w:val="footnote text"/>
    <w:basedOn w:val="a"/>
    <w:link w:val="ab"/>
    <w:uiPriority w:val="99"/>
    <w:semiHidden/>
    <w:unhideWhenUsed/>
    <w:rsid w:val="00695C14"/>
    <w:pPr>
      <w:spacing w:after="0" w:line="240" w:lineRule="auto"/>
    </w:pPr>
    <w:rPr>
      <w:sz w:val="20"/>
      <w:szCs w:val="20"/>
    </w:rPr>
  </w:style>
  <w:style w:type="character" w:customStyle="1" w:styleId="ab">
    <w:name w:val="Текст сноски Знак"/>
    <w:basedOn w:val="a0"/>
    <w:link w:val="aa"/>
    <w:uiPriority w:val="99"/>
    <w:semiHidden/>
    <w:rsid w:val="00695C14"/>
    <w:rPr>
      <w:sz w:val="20"/>
      <w:szCs w:val="20"/>
    </w:rPr>
  </w:style>
  <w:style w:type="character" w:styleId="ac">
    <w:name w:val="footnote reference"/>
    <w:basedOn w:val="a0"/>
    <w:uiPriority w:val="99"/>
    <w:semiHidden/>
    <w:unhideWhenUsed/>
    <w:rsid w:val="00695C14"/>
    <w:rPr>
      <w:vertAlign w:val="superscript"/>
    </w:rPr>
  </w:style>
  <w:style w:type="character" w:styleId="ad">
    <w:name w:val="Hyperlink"/>
    <w:basedOn w:val="a0"/>
    <w:uiPriority w:val="99"/>
    <w:unhideWhenUsed/>
    <w:rsid w:val="00695C14"/>
    <w:rPr>
      <w:color w:val="0000FF" w:themeColor="hyperlink"/>
      <w:u w:val="single"/>
    </w:rPr>
  </w:style>
  <w:style w:type="paragraph" w:styleId="ae">
    <w:name w:val="List Paragraph"/>
    <w:basedOn w:val="a"/>
    <w:uiPriority w:val="34"/>
    <w:qFormat/>
    <w:rsid w:val="00D955BB"/>
    <w:pPr>
      <w:ind w:left="720"/>
      <w:contextualSpacing/>
    </w:pPr>
  </w:style>
  <w:style w:type="paragraph" w:styleId="af">
    <w:name w:val="Normal (Web)"/>
    <w:basedOn w:val="a"/>
    <w:uiPriority w:val="99"/>
    <w:semiHidden/>
    <w:unhideWhenUsed/>
    <w:rsid w:val="00FF1EB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1405"/>
    <w:pPr>
      <w:autoSpaceDE w:val="0"/>
      <w:autoSpaceDN w:val="0"/>
      <w:adjustRightInd w:val="0"/>
      <w:spacing w:after="0" w:line="240" w:lineRule="auto"/>
    </w:pPr>
    <w:rPr>
      <w:rFonts w:ascii="Calibri" w:hAnsi="Calibri" w:cs="Calibri"/>
      <w:color w:val="000000"/>
      <w:sz w:val="24"/>
      <w:szCs w:val="24"/>
    </w:rPr>
  </w:style>
  <w:style w:type="character" w:styleId="a3">
    <w:name w:val="annotation reference"/>
    <w:basedOn w:val="a0"/>
    <w:uiPriority w:val="99"/>
    <w:semiHidden/>
    <w:unhideWhenUsed/>
    <w:rsid w:val="00491405"/>
    <w:rPr>
      <w:sz w:val="16"/>
      <w:szCs w:val="16"/>
    </w:rPr>
  </w:style>
  <w:style w:type="paragraph" w:styleId="a4">
    <w:name w:val="annotation text"/>
    <w:basedOn w:val="a"/>
    <w:link w:val="a5"/>
    <w:uiPriority w:val="99"/>
    <w:semiHidden/>
    <w:unhideWhenUsed/>
    <w:rsid w:val="00491405"/>
    <w:pPr>
      <w:spacing w:line="240" w:lineRule="auto"/>
    </w:pPr>
    <w:rPr>
      <w:sz w:val="20"/>
      <w:szCs w:val="20"/>
    </w:rPr>
  </w:style>
  <w:style w:type="character" w:customStyle="1" w:styleId="a5">
    <w:name w:val="Текст примечания Знак"/>
    <w:basedOn w:val="a0"/>
    <w:link w:val="a4"/>
    <w:uiPriority w:val="99"/>
    <w:semiHidden/>
    <w:rsid w:val="00491405"/>
    <w:rPr>
      <w:sz w:val="20"/>
      <w:szCs w:val="20"/>
    </w:rPr>
  </w:style>
  <w:style w:type="paragraph" w:styleId="a6">
    <w:name w:val="annotation subject"/>
    <w:basedOn w:val="a4"/>
    <w:next w:val="a4"/>
    <w:link w:val="a7"/>
    <w:uiPriority w:val="99"/>
    <w:semiHidden/>
    <w:unhideWhenUsed/>
    <w:rsid w:val="00491405"/>
    <w:rPr>
      <w:b/>
      <w:bCs/>
    </w:rPr>
  </w:style>
  <w:style w:type="character" w:customStyle="1" w:styleId="a7">
    <w:name w:val="Тема примечания Знак"/>
    <w:basedOn w:val="a5"/>
    <w:link w:val="a6"/>
    <w:uiPriority w:val="99"/>
    <w:semiHidden/>
    <w:rsid w:val="00491405"/>
    <w:rPr>
      <w:b/>
      <w:bCs/>
      <w:sz w:val="20"/>
      <w:szCs w:val="20"/>
    </w:rPr>
  </w:style>
  <w:style w:type="paragraph" w:styleId="a8">
    <w:name w:val="Balloon Text"/>
    <w:basedOn w:val="a"/>
    <w:link w:val="a9"/>
    <w:uiPriority w:val="99"/>
    <w:semiHidden/>
    <w:unhideWhenUsed/>
    <w:rsid w:val="0049140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91405"/>
    <w:rPr>
      <w:rFonts w:ascii="Tahoma" w:hAnsi="Tahoma" w:cs="Tahoma"/>
      <w:sz w:val="16"/>
      <w:szCs w:val="16"/>
    </w:rPr>
  </w:style>
  <w:style w:type="paragraph" w:styleId="aa">
    <w:name w:val="footnote text"/>
    <w:basedOn w:val="a"/>
    <w:link w:val="ab"/>
    <w:uiPriority w:val="99"/>
    <w:semiHidden/>
    <w:unhideWhenUsed/>
    <w:rsid w:val="00695C14"/>
    <w:pPr>
      <w:spacing w:after="0" w:line="240" w:lineRule="auto"/>
    </w:pPr>
    <w:rPr>
      <w:sz w:val="20"/>
      <w:szCs w:val="20"/>
    </w:rPr>
  </w:style>
  <w:style w:type="character" w:customStyle="1" w:styleId="ab">
    <w:name w:val="Текст сноски Знак"/>
    <w:basedOn w:val="a0"/>
    <w:link w:val="aa"/>
    <w:uiPriority w:val="99"/>
    <w:semiHidden/>
    <w:rsid w:val="00695C14"/>
    <w:rPr>
      <w:sz w:val="20"/>
      <w:szCs w:val="20"/>
    </w:rPr>
  </w:style>
  <w:style w:type="character" w:styleId="ac">
    <w:name w:val="footnote reference"/>
    <w:basedOn w:val="a0"/>
    <w:uiPriority w:val="99"/>
    <w:semiHidden/>
    <w:unhideWhenUsed/>
    <w:rsid w:val="00695C14"/>
    <w:rPr>
      <w:vertAlign w:val="superscript"/>
    </w:rPr>
  </w:style>
  <w:style w:type="character" w:styleId="ad">
    <w:name w:val="Hyperlink"/>
    <w:basedOn w:val="a0"/>
    <w:uiPriority w:val="99"/>
    <w:unhideWhenUsed/>
    <w:rsid w:val="00695C14"/>
    <w:rPr>
      <w:color w:val="0000FF" w:themeColor="hyperlink"/>
      <w:u w:val="single"/>
    </w:rPr>
  </w:style>
  <w:style w:type="paragraph" w:styleId="ae">
    <w:name w:val="List Paragraph"/>
    <w:basedOn w:val="a"/>
    <w:uiPriority w:val="34"/>
    <w:qFormat/>
    <w:rsid w:val="00D955BB"/>
    <w:pPr>
      <w:ind w:left="720"/>
      <w:contextualSpacing/>
    </w:pPr>
  </w:style>
  <w:style w:type="paragraph" w:styleId="af">
    <w:name w:val="Normal (Web)"/>
    <w:basedOn w:val="a"/>
    <w:uiPriority w:val="99"/>
    <w:semiHidden/>
    <w:unhideWhenUsed/>
    <w:rsid w:val="00FF1EB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5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cetrade.b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mintrud.gov.by/ru/new_url_375140128" TargetMode="External"/><Relationship Id="rId1" Type="http://schemas.openxmlformats.org/officeDocument/2006/relationships/hyperlink" Target="http://www.economy.gov.by/dadvfiles/001252_122016_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A7AF68F-A24F-45EF-B09F-E4FFB119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5</Pages>
  <Words>6959</Words>
  <Characters>3968</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Kupriy</dc:creator>
  <cp:lastModifiedBy>Kupriy</cp:lastModifiedBy>
  <cp:revision>2</cp:revision>
  <dcterms:created xsi:type="dcterms:W3CDTF">2016-11-01T08:04:00Z</dcterms:created>
  <dcterms:modified xsi:type="dcterms:W3CDTF">2016-11-07T00:49:00Z</dcterms:modified>
</cp:coreProperties>
</file>