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EB" w:rsidRPr="002F6ABB" w:rsidRDefault="00D129EB" w:rsidP="00D129EB">
      <w:pPr>
        <w:pStyle w:val="a3"/>
        <w:rPr>
          <w:rFonts w:ascii="Arial" w:hAnsi="Arial" w:cs="Arial"/>
          <w:b/>
          <w:lang w:val="uk-UA"/>
        </w:rPr>
      </w:pPr>
      <w:r w:rsidRPr="002F6ABB">
        <w:rPr>
          <w:rFonts w:ascii="Arial" w:hAnsi="Arial" w:cs="Arial"/>
          <w:b/>
          <w:lang w:val="uk-UA"/>
        </w:rPr>
        <w:t>В</w:t>
      </w:r>
      <w:r w:rsidRPr="002F6ABB">
        <w:rPr>
          <w:rFonts w:ascii="Arial" w:hAnsi="Arial" w:cs="Arial"/>
          <w:b/>
          <w:lang w:val="uk-UA"/>
        </w:rPr>
        <w:t>изначення сум бюджетного фінансування соціальних послуг</w:t>
      </w:r>
      <w:r w:rsidRPr="002F6ABB">
        <w:rPr>
          <w:rFonts w:ascii="Arial" w:hAnsi="Arial" w:cs="Arial"/>
          <w:b/>
          <w:lang w:val="uk-UA"/>
        </w:rPr>
        <w:t xml:space="preserve"> (для цілей соціального замовлення)</w:t>
      </w:r>
    </w:p>
    <w:p w:rsidR="00D129EB" w:rsidRPr="002F6ABB" w:rsidRDefault="00D129EB" w:rsidP="00D129EB">
      <w:pPr>
        <w:pStyle w:val="a3"/>
        <w:rPr>
          <w:rFonts w:ascii="Arial" w:hAnsi="Arial" w:cs="Arial"/>
          <w:b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b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Цілі підвищення адресності та ефективності соціальних послуг у рамках проектів соціального замовлення не дозволяють застосовувати нормативи бюджетного фінансування безвідносно до розмірів доходу (або фінансових активів) отримувачів соціальних послуг.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З іншого боку, бюджетне фінансування виконавців проектів соціального замовлення незалежно від фактичної кількості отримувачів та/або послуг призводить до зниження конкуренції, мотивації та гнучкості виконавців, а також</w:t>
      </w:r>
      <w:r w:rsidR="005E00D0" w:rsidRPr="002F6ABB">
        <w:rPr>
          <w:rFonts w:ascii="Arial" w:hAnsi="Arial" w:cs="Arial"/>
          <w:lang w:val="uk-UA"/>
        </w:rPr>
        <w:t xml:space="preserve"> не сприяє загальному скороченню бюджетних витрат на соціальну допомогу.</w:t>
      </w:r>
      <w:r w:rsidRPr="002F6ABB">
        <w:rPr>
          <w:rFonts w:ascii="Arial" w:hAnsi="Arial" w:cs="Arial"/>
          <w:lang w:val="uk-UA"/>
        </w:rPr>
        <w:t xml:space="preserve"> </w:t>
      </w:r>
    </w:p>
    <w:p w:rsidR="00D129EB" w:rsidRPr="002F6ABB" w:rsidRDefault="00D129EB" w:rsidP="00D129EB">
      <w:pPr>
        <w:pStyle w:val="a3"/>
        <w:rPr>
          <w:rFonts w:ascii="Arial" w:hAnsi="Arial" w:cs="Arial"/>
          <w:b/>
          <w:lang w:val="uk-UA"/>
        </w:rPr>
      </w:pPr>
    </w:p>
    <w:p w:rsidR="00D129EB" w:rsidRPr="002F6ABB" w:rsidRDefault="005E00D0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 xml:space="preserve">Кращі практики бюджетного фінансування соціальних послуг передбачають диференційовані ліміти витрат залежно від доходу одержувачів відповідних послуг. Наприклад, у </w:t>
      </w:r>
      <w:r w:rsidR="00D129EB" w:rsidRPr="002F6ABB">
        <w:rPr>
          <w:rFonts w:ascii="Arial" w:hAnsi="Arial" w:cs="Arial"/>
          <w:lang w:val="uk-UA"/>
        </w:rPr>
        <w:t xml:space="preserve">Португалії </w:t>
      </w:r>
      <w:r w:rsidRPr="002F6ABB">
        <w:rPr>
          <w:rFonts w:ascii="Arial" w:hAnsi="Arial" w:cs="Arial"/>
          <w:lang w:val="uk-UA"/>
        </w:rPr>
        <w:t>особа, яка має доходи в межах т. зв. «нижчо</w:t>
      </w:r>
      <w:r w:rsidR="00D129EB" w:rsidRPr="002F6ABB">
        <w:rPr>
          <w:rFonts w:ascii="Arial" w:hAnsi="Arial" w:cs="Arial"/>
          <w:lang w:val="uk-UA"/>
        </w:rPr>
        <w:t>го кошику</w:t>
      </w:r>
      <w:r w:rsidRPr="002F6ABB">
        <w:rPr>
          <w:rFonts w:ascii="Arial" w:hAnsi="Arial" w:cs="Arial"/>
          <w:lang w:val="uk-UA"/>
        </w:rPr>
        <w:t xml:space="preserve"> доходів»</w:t>
      </w:r>
      <w:r w:rsidR="00D129EB" w:rsidRPr="002F6ABB">
        <w:rPr>
          <w:rFonts w:ascii="Arial" w:hAnsi="Arial" w:cs="Arial"/>
          <w:lang w:val="uk-UA"/>
        </w:rPr>
        <w:t xml:space="preserve">, може отримувати соціальні послуги, за які держава </w:t>
      </w:r>
      <w:r w:rsidRPr="002F6ABB">
        <w:rPr>
          <w:rFonts w:ascii="Arial" w:hAnsi="Arial" w:cs="Arial"/>
          <w:lang w:val="uk-UA"/>
        </w:rPr>
        <w:t xml:space="preserve">сплачує виконавцям бюджетні </w:t>
      </w:r>
      <w:r w:rsidR="00D129EB" w:rsidRPr="002F6ABB">
        <w:rPr>
          <w:rFonts w:ascii="Arial" w:hAnsi="Arial" w:cs="Arial"/>
          <w:lang w:val="uk-UA"/>
        </w:rPr>
        <w:t>кошти в межах 100% прожиткового мінімуму</w:t>
      </w:r>
      <w:r w:rsidRPr="002F6ABB">
        <w:rPr>
          <w:rFonts w:ascii="Arial" w:hAnsi="Arial" w:cs="Arial"/>
          <w:lang w:val="uk-UA"/>
        </w:rPr>
        <w:t xml:space="preserve"> для такої особи</w:t>
      </w:r>
      <w:r w:rsidR="00D129EB" w:rsidRPr="002F6ABB">
        <w:rPr>
          <w:rFonts w:ascii="Arial" w:hAnsi="Arial" w:cs="Arial"/>
          <w:lang w:val="uk-UA"/>
        </w:rPr>
        <w:t xml:space="preserve">, </w:t>
      </w:r>
      <w:r w:rsidRPr="002F6ABB">
        <w:rPr>
          <w:rFonts w:ascii="Arial" w:hAnsi="Arial" w:cs="Arial"/>
          <w:lang w:val="uk-UA"/>
        </w:rPr>
        <w:t>а на отримувачів із «друго</w:t>
      </w:r>
      <w:r w:rsidR="00D129EB" w:rsidRPr="002F6ABB">
        <w:rPr>
          <w:rFonts w:ascii="Arial" w:hAnsi="Arial" w:cs="Arial"/>
          <w:lang w:val="uk-UA"/>
        </w:rPr>
        <w:t>го кошику</w:t>
      </w:r>
      <w:r w:rsidRPr="002F6ABB">
        <w:rPr>
          <w:rFonts w:ascii="Arial" w:hAnsi="Arial" w:cs="Arial"/>
          <w:lang w:val="uk-UA"/>
        </w:rPr>
        <w:t xml:space="preserve"> доходів»</w:t>
      </w:r>
      <w:r w:rsidR="00D129EB" w:rsidRPr="002F6ABB">
        <w:rPr>
          <w:rFonts w:ascii="Arial" w:hAnsi="Arial" w:cs="Arial"/>
          <w:lang w:val="uk-UA"/>
        </w:rPr>
        <w:t xml:space="preserve"> бюджетні виплати не </w:t>
      </w:r>
      <w:r w:rsidRPr="002F6ABB">
        <w:rPr>
          <w:rFonts w:ascii="Arial" w:hAnsi="Arial" w:cs="Arial"/>
          <w:lang w:val="uk-UA"/>
        </w:rPr>
        <w:t xml:space="preserve">перевищують уже </w:t>
      </w:r>
      <w:r w:rsidR="00D129EB" w:rsidRPr="002F6ABB">
        <w:rPr>
          <w:rFonts w:ascii="Arial" w:hAnsi="Arial" w:cs="Arial"/>
          <w:lang w:val="uk-UA"/>
        </w:rPr>
        <w:t xml:space="preserve">60% прожиткового мінімуму. </w:t>
      </w:r>
      <w:r w:rsidRPr="002F6ABB">
        <w:rPr>
          <w:rFonts w:ascii="Arial" w:hAnsi="Arial" w:cs="Arial"/>
          <w:lang w:val="uk-UA"/>
        </w:rPr>
        <w:t>При цьому з</w:t>
      </w:r>
      <w:r w:rsidR="00D129EB" w:rsidRPr="002F6ABB">
        <w:rPr>
          <w:rFonts w:ascii="Arial" w:hAnsi="Arial" w:cs="Arial"/>
          <w:lang w:val="uk-UA"/>
        </w:rPr>
        <w:t>а наявності медичних показань та/або потреби в додаткових чи спеціалізованих послугах відповідні виплати можуть збільшуватися на 50-100%.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Це дозволяє встановлювати граничні суми бюджетного фінансування соціальних послуг, які надають</w:t>
      </w:r>
      <w:r w:rsidRPr="002F6ABB">
        <w:rPr>
          <w:rFonts w:ascii="Arial" w:hAnsi="Arial" w:cs="Arial"/>
          <w:lang w:val="uk-UA"/>
        </w:rPr>
        <w:t xml:space="preserve"> </w:t>
      </w:r>
      <w:r w:rsidR="005E00D0" w:rsidRPr="002F6ABB">
        <w:rPr>
          <w:rFonts w:ascii="Arial" w:hAnsi="Arial" w:cs="Arial"/>
          <w:lang w:val="uk-UA"/>
        </w:rPr>
        <w:t xml:space="preserve">недержавні </w:t>
      </w:r>
      <w:r w:rsidRPr="002F6ABB">
        <w:rPr>
          <w:rFonts w:ascii="Arial" w:hAnsi="Arial" w:cs="Arial"/>
          <w:lang w:val="uk-UA"/>
        </w:rPr>
        <w:t>виконавці</w:t>
      </w:r>
      <w:r w:rsidRPr="002F6ABB">
        <w:rPr>
          <w:rFonts w:ascii="Arial" w:hAnsi="Arial" w:cs="Arial"/>
          <w:lang w:val="uk-UA"/>
        </w:rPr>
        <w:t xml:space="preserve">, </w:t>
      </w:r>
      <w:proofErr w:type="spellStart"/>
      <w:r w:rsidRPr="002F6ABB">
        <w:rPr>
          <w:rFonts w:ascii="Arial" w:hAnsi="Arial" w:cs="Arial"/>
          <w:lang w:val="uk-UA"/>
        </w:rPr>
        <w:t>пропорційно</w:t>
      </w:r>
      <w:proofErr w:type="spellEnd"/>
      <w:r w:rsidRPr="002F6ABB">
        <w:rPr>
          <w:rFonts w:ascii="Arial" w:hAnsi="Arial" w:cs="Arial"/>
          <w:lang w:val="uk-UA"/>
        </w:rPr>
        <w:t xml:space="preserve"> до: 1) </w:t>
      </w:r>
      <w:r w:rsidR="005E00D0" w:rsidRPr="002F6ABB">
        <w:rPr>
          <w:rFonts w:ascii="Arial" w:hAnsi="Arial" w:cs="Arial"/>
          <w:lang w:val="uk-UA"/>
        </w:rPr>
        <w:t xml:space="preserve">розміру </w:t>
      </w:r>
      <w:r w:rsidRPr="002F6ABB">
        <w:rPr>
          <w:rFonts w:ascii="Arial" w:hAnsi="Arial" w:cs="Arial"/>
          <w:lang w:val="uk-UA"/>
        </w:rPr>
        <w:t>загальних доходів одержувача по</w:t>
      </w:r>
      <w:r w:rsidR="005E00D0" w:rsidRPr="002F6ABB">
        <w:rPr>
          <w:rFonts w:ascii="Arial" w:hAnsi="Arial" w:cs="Arial"/>
          <w:lang w:val="uk-UA"/>
        </w:rPr>
        <w:t>слуг; 2) граничних сум державної</w:t>
      </w:r>
      <w:r w:rsidRPr="002F6ABB">
        <w:rPr>
          <w:rFonts w:ascii="Arial" w:hAnsi="Arial" w:cs="Arial"/>
          <w:lang w:val="uk-UA"/>
        </w:rPr>
        <w:t xml:space="preserve"> соціальн</w:t>
      </w:r>
      <w:r w:rsidR="005E00D0" w:rsidRPr="002F6ABB">
        <w:rPr>
          <w:rFonts w:ascii="Arial" w:hAnsi="Arial" w:cs="Arial"/>
          <w:lang w:val="uk-UA"/>
        </w:rPr>
        <w:t>ої допомоги одержувачу</w:t>
      </w:r>
      <w:r w:rsidRPr="002F6ABB">
        <w:rPr>
          <w:rFonts w:ascii="Arial" w:hAnsi="Arial" w:cs="Arial"/>
          <w:lang w:val="uk-UA"/>
        </w:rPr>
        <w:t>; та/або 3) фактичного часу надання соціальних послуг (наприклад, у закладах цілодобового перебування або денного догляду).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5E00D0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На нашу думку, подібний підхід є перспективним і для реформування соціального замовлення в Україні.</w:t>
      </w:r>
    </w:p>
    <w:p w:rsidR="005E00D0" w:rsidRPr="002F6ABB" w:rsidRDefault="005E00D0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5E00D0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b/>
          <w:lang w:val="uk-UA"/>
        </w:rPr>
        <w:t>Приклад.</w:t>
      </w:r>
      <w:r w:rsidRPr="002F6ABB">
        <w:rPr>
          <w:rFonts w:ascii="Arial" w:hAnsi="Arial" w:cs="Arial"/>
          <w:lang w:val="uk-UA"/>
        </w:rPr>
        <w:t xml:space="preserve"> В</w:t>
      </w:r>
      <w:r w:rsidR="00D129EB" w:rsidRPr="002F6ABB">
        <w:rPr>
          <w:rFonts w:ascii="Arial" w:hAnsi="Arial" w:cs="Arial"/>
          <w:lang w:val="uk-UA"/>
        </w:rPr>
        <w:t xml:space="preserve"> Україні державна соціальна допомога одиноким матерям дорівнює </w:t>
      </w:r>
      <w:r w:rsidR="00D129EB" w:rsidRPr="002F6ABB">
        <w:rPr>
          <w:rFonts w:ascii="Arial" w:hAnsi="Arial" w:cs="Arial"/>
          <w:i/>
          <w:lang w:val="uk-UA"/>
        </w:rPr>
        <w:t>різниці</w:t>
      </w:r>
      <w:r w:rsidR="00D129EB" w:rsidRPr="002F6ABB">
        <w:rPr>
          <w:rFonts w:ascii="Arial" w:hAnsi="Arial" w:cs="Arial"/>
          <w:lang w:val="uk-UA"/>
        </w:rPr>
        <w:t xml:space="preserve"> між 100% прожиткового мінімуму для дитини певного віку</w:t>
      </w:r>
      <w:r w:rsidRPr="002F6ABB">
        <w:rPr>
          <w:rStyle w:val="a6"/>
          <w:rFonts w:ascii="Arial" w:hAnsi="Arial" w:cs="Arial"/>
          <w:lang w:val="uk-UA"/>
        </w:rPr>
        <w:footnoteReference w:id="1"/>
      </w:r>
      <w:r w:rsidR="00D129EB" w:rsidRPr="002F6ABB">
        <w:rPr>
          <w:rFonts w:ascii="Arial" w:hAnsi="Arial" w:cs="Arial"/>
          <w:lang w:val="uk-UA"/>
        </w:rPr>
        <w:t xml:space="preserve"> і середньомісячним сукупним доходом </w:t>
      </w:r>
      <w:r w:rsidRPr="002F6ABB">
        <w:rPr>
          <w:rFonts w:ascii="Arial" w:hAnsi="Arial" w:cs="Arial"/>
          <w:lang w:val="uk-UA"/>
        </w:rPr>
        <w:t>сім</w:t>
      </w:r>
      <w:r w:rsidRPr="002F6ABB">
        <w:rPr>
          <w:rFonts w:ascii="Arial" w:hAnsi="Arial" w:cs="Arial"/>
        </w:rPr>
        <w:t>’</w:t>
      </w:r>
      <w:r w:rsidRPr="002F6ABB">
        <w:rPr>
          <w:rFonts w:ascii="Arial" w:hAnsi="Arial" w:cs="Arial"/>
          <w:lang w:val="uk-UA"/>
        </w:rPr>
        <w:t xml:space="preserve">ї </w:t>
      </w:r>
      <w:r w:rsidRPr="002F6ABB">
        <w:rPr>
          <w:rFonts w:ascii="Arial" w:hAnsi="Arial" w:cs="Arial"/>
        </w:rPr>
        <w:t>(</w:t>
      </w:r>
      <w:r w:rsidR="00D129EB" w:rsidRPr="002F6ABB">
        <w:rPr>
          <w:rFonts w:ascii="Arial" w:hAnsi="Arial" w:cs="Arial"/>
          <w:lang w:val="uk-UA"/>
        </w:rPr>
        <w:t>домогосподарства</w:t>
      </w:r>
      <w:r w:rsidRPr="002F6ABB">
        <w:rPr>
          <w:rFonts w:ascii="Arial" w:hAnsi="Arial" w:cs="Arial"/>
        </w:rPr>
        <w:t>)</w:t>
      </w:r>
      <w:r w:rsidR="00D129EB" w:rsidRPr="002F6ABB">
        <w:rPr>
          <w:rFonts w:ascii="Arial" w:hAnsi="Arial" w:cs="Arial"/>
          <w:lang w:val="uk-UA"/>
        </w:rPr>
        <w:t xml:space="preserve"> за попередні шість місяців.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 xml:space="preserve">Одинока мати 4-річної дитини відвідує курси профпідготовки і консультації служби зайнятості, тому звертається за послугами центру денного догляду за дітьми (50% часу, 8 годин на день без урахування нічного часу з 22.00 до 06.00 годин). 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Якщо вона не отримувала доход у попередні шість місяців, державна соціальна допомога може становити 1355 грн. на місяць у січні-квітні 2017 року. Але для розрахунку граничної суми бюджетного фінансування соціальної послуги має значення не точна сума її доходу або соціальної допом</w:t>
      </w:r>
      <w:r w:rsidR="005E00D0" w:rsidRPr="002F6ABB">
        <w:rPr>
          <w:rFonts w:ascii="Arial" w:hAnsi="Arial" w:cs="Arial"/>
          <w:lang w:val="uk-UA"/>
        </w:rPr>
        <w:t>оги, а належність цих осіб до певно</w:t>
      </w:r>
      <w:r w:rsidRPr="002F6ABB">
        <w:rPr>
          <w:rFonts w:ascii="Arial" w:hAnsi="Arial" w:cs="Arial"/>
          <w:lang w:val="uk-UA"/>
        </w:rPr>
        <w:t xml:space="preserve">го </w:t>
      </w:r>
      <w:r w:rsidR="005E00D0" w:rsidRPr="002F6ABB">
        <w:rPr>
          <w:rFonts w:ascii="Arial" w:hAnsi="Arial" w:cs="Arial"/>
          <w:lang w:val="uk-UA"/>
        </w:rPr>
        <w:t>«</w:t>
      </w:r>
      <w:r w:rsidRPr="002F6ABB">
        <w:rPr>
          <w:rFonts w:ascii="Arial" w:hAnsi="Arial" w:cs="Arial"/>
          <w:lang w:val="uk-UA"/>
        </w:rPr>
        <w:t>кошика</w:t>
      </w:r>
      <w:r w:rsidR="005E00D0" w:rsidRPr="002F6ABB">
        <w:rPr>
          <w:rFonts w:ascii="Arial" w:hAnsi="Arial" w:cs="Arial"/>
          <w:lang w:val="uk-UA"/>
        </w:rPr>
        <w:t xml:space="preserve"> доходу»</w:t>
      </w:r>
      <w:r w:rsidRPr="002F6ABB">
        <w:rPr>
          <w:rFonts w:ascii="Arial" w:hAnsi="Arial" w:cs="Arial"/>
          <w:lang w:val="uk-UA"/>
        </w:rPr>
        <w:t>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 xml:space="preserve">Отже, неурядова організація матиме право на бюджетні доплати за цю соціальну послугу для осіб з </w:t>
      </w:r>
      <w:r w:rsidR="005E00D0" w:rsidRPr="002F6ABB">
        <w:rPr>
          <w:rFonts w:ascii="Arial" w:hAnsi="Arial" w:cs="Arial"/>
          <w:lang w:val="uk-UA"/>
        </w:rPr>
        <w:t>«нижчог</w:t>
      </w:r>
      <w:r w:rsidRPr="002F6ABB">
        <w:rPr>
          <w:rFonts w:ascii="Arial" w:hAnsi="Arial" w:cs="Arial"/>
          <w:lang w:val="uk-UA"/>
        </w:rPr>
        <w:t xml:space="preserve">о кошика </w:t>
      </w:r>
      <w:r w:rsidR="005E00D0" w:rsidRPr="002F6ABB">
        <w:rPr>
          <w:rFonts w:ascii="Arial" w:hAnsi="Arial" w:cs="Arial"/>
          <w:lang w:val="uk-UA"/>
        </w:rPr>
        <w:t xml:space="preserve">доходів» </w:t>
      </w:r>
      <w:r w:rsidRPr="002F6ABB">
        <w:rPr>
          <w:rFonts w:ascii="Arial" w:hAnsi="Arial" w:cs="Arial"/>
          <w:lang w:val="uk-UA"/>
        </w:rPr>
        <w:t xml:space="preserve">не вище 50% прожиткового мінімуму чи 799 грн. щомісяця (якщо не застосовується погодинний облік з пропорційним перерахунком). Якщо загальна вартість послуги вища, то різницю можуть відшкодовувати як власний внесок організації в рамках договору з державним замовником, так і внески третіх осіб або </w:t>
      </w:r>
      <w:r w:rsidR="005E00D0" w:rsidRPr="002F6ABB">
        <w:rPr>
          <w:rFonts w:ascii="Arial" w:hAnsi="Arial" w:cs="Arial"/>
          <w:lang w:val="uk-UA"/>
        </w:rPr>
        <w:t xml:space="preserve">отримувача </w:t>
      </w:r>
      <w:r w:rsidRPr="002F6ABB">
        <w:rPr>
          <w:rFonts w:ascii="Arial" w:hAnsi="Arial" w:cs="Arial"/>
          <w:lang w:val="uk-UA"/>
        </w:rPr>
        <w:t xml:space="preserve">(як-от за додаткові послуги для дитини, вартість яких не вище 50% бюджетної доплати або 398 грн., але не </w:t>
      </w:r>
      <w:proofErr w:type="spellStart"/>
      <w:r w:rsidRPr="002F6ABB">
        <w:rPr>
          <w:rFonts w:ascii="Arial" w:hAnsi="Arial" w:cs="Arial"/>
          <w:lang w:val="uk-UA"/>
        </w:rPr>
        <w:t>пов</w:t>
      </w:r>
      <w:proofErr w:type="spellEnd"/>
      <w:r w:rsidRPr="002F6ABB">
        <w:rPr>
          <w:rFonts w:ascii="Arial" w:hAnsi="Arial" w:cs="Arial"/>
        </w:rPr>
        <w:t>’</w:t>
      </w:r>
      <w:proofErr w:type="spellStart"/>
      <w:r w:rsidRPr="002F6ABB">
        <w:rPr>
          <w:rFonts w:ascii="Arial" w:hAnsi="Arial" w:cs="Arial"/>
          <w:lang w:val="uk-UA"/>
        </w:rPr>
        <w:t>язана</w:t>
      </w:r>
      <w:proofErr w:type="spellEnd"/>
      <w:r w:rsidRPr="002F6ABB">
        <w:rPr>
          <w:rFonts w:ascii="Arial" w:hAnsi="Arial" w:cs="Arial"/>
          <w:lang w:val="uk-UA"/>
        </w:rPr>
        <w:t xml:space="preserve"> з медичними показаннями чи договором з державним замовником). Це матиме принципове значення для досягнення цілей залучення додаткових ресурсів у соціальну сферу.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 xml:space="preserve">Варіант 1: </w:t>
      </w:r>
      <w:r w:rsidR="00241BAC" w:rsidRPr="002F6ABB">
        <w:rPr>
          <w:rFonts w:ascii="Arial" w:hAnsi="Arial" w:cs="Arial"/>
          <w:lang w:val="uk-UA"/>
        </w:rPr>
        <w:t xml:space="preserve">до кінця строку контракту соціального замовлення або у визначений контрактом пізніший період </w:t>
      </w:r>
      <w:r w:rsidRPr="002F6ABB">
        <w:rPr>
          <w:rFonts w:ascii="Arial" w:hAnsi="Arial" w:cs="Arial"/>
          <w:lang w:val="uk-UA"/>
        </w:rPr>
        <w:t>одинока мати отримує роботу з неповним робочим часом (50% мінімальної зарплати або 1600 грн. на місяць)</w:t>
      </w:r>
      <w:r w:rsidR="00241BAC" w:rsidRPr="002F6ABB">
        <w:rPr>
          <w:rFonts w:ascii="Arial" w:hAnsi="Arial" w:cs="Arial"/>
          <w:lang w:val="uk-UA"/>
        </w:rPr>
        <w:t xml:space="preserve"> і залишається в «нижчо</w:t>
      </w:r>
      <w:r w:rsidRPr="002F6ABB">
        <w:rPr>
          <w:rFonts w:ascii="Arial" w:hAnsi="Arial" w:cs="Arial"/>
          <w:lang w:val="uk-UA"/>
        </w:rPr>
        <w:t>му кошику доходів</w:t>
      </w:r>
      <w:r w:rsidR="00241BAC" w:rsidRPr="002F6ABB">
        <w:rPr>
          <w:rFonts w:ascii="Arial" w:hAnsi="Arial" w:cs="Arial"/>
          <w:lang w:val="uk-UA"/>
        </w:rPr>
        <w:t>»</w:t>
      </w:r>
      <w:r w:rsidRPr="002F6ABB">
        <w:rPr>
          <w:rFonts w:ascii="Arial" w:hAnsi="Arial" w:cs="Arial"/>
          <w:lang w:val="uk-UA"/>
        </w:rPr>
        <w:t xml:space="preserve">. Вона зберігає право на державну соціальну допомогу в розмірі 555 грн. на місяць і бюджетні платежі за послуги </w:t>
      </w:r>
      <w:r w:rsidR="00241BAC" w:rsidRPr="002F6ABB">
        <w:rPr>
          <w:rFonts w:ascii="Arial" w:hAnsi="Arial" w:cs="Arial"/>
          <w:lang w:val="uk-UA"/>
        </w:rPr>
        <w:t xml:space="preserve">приватного </w:t>
      </w:r>
      <w:r w:rsidRPr="002F6ABB">
        <w:rPr>
          <w:rFonts w:ascii="Arial" w:hAnsi="Arial" w:cs="Arial"/>
          <w:lang w:val="uk-UA"/>
        </w:rPr>
        <w:t xml:space="preserve">центру денного догляду в розмірі 799 грн. 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 xml:space="preserve">Прямий фінансовий ефект соціальної послуги для бюджету порівняно з виплатою державної соціальної допомоги в розмірі 100% майже відсутній (1354 грн. порівняно з 1355 грн. на місяць), але доходи одинокої матері зростають на 9600 грн. на рік. Це матиме не тільки соціальний ефект і для дитини, і для матері, але й непрямий фінансовий ефект для доходів бюджету (завдяки сплаті </w:t>
      </w:r>
      <w:r w:rsidR="00241BAC" w:rsidRPr="002F6ABB">
        <w:rPr>
          <w:rFonts w:ascii="Arial" w:hAnsi="Arial" w:cs="Arial"/>
          <w:lang w:val="uk-UA"/>
        </w:rPr>
        <w:t xml:space="preserve">виконавцем </w:t>
      </w:r>
      <w:r w:rsidRPr="002F6ABB">
        <w:rPr>
          <w:rFonts w:ascii="Arial" w:hAnsi="Arial" w:cs="Arial"/>
          <w:lang w:val="uk-UA"/>
        </w:rPr>
        <w:t xml:space="preserve">ЄСВ та інших податків у складі </w:t>
      </w:r>
      <w:r w:rsidR="00241BAC" w:rsidRPr="002F6ABB">
        <w:rPr>
          <w:rFonts w:ascii="Arial" w:hAnsi="Arial" w:cs="Arial"/>
          <w:lang w:val="uk-UA"/>
        </w:rPr>
        <w:t xml:space="preserve">кошторису проекту </w:t>
      </w:r>
      <w:r w:rsidRPr="002F6ABB">
        <w:rPr>
          <w:rFonts w:ascii="Arial" w:hAnsi="Arial" w:cs="Arial"/>
          <w:lang w:val="uk-UA"/>
        </w:rPr>
        <w:t xml:space="preserve">тощо). 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Цілком очевидно, що для цілей державної політики пріоритетним результатом соціальної послуги є працевлаштування матері на вище оплачувану роботу (отримання більшого сукупного доходу).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241BAC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 xml:space="preserve">Варіант 2: одинока мати отримує роботу за мінімальну зарплату (3200 грн.) або розпочинає підприємницьку діяльність з аналогічним доходом. Вона входить у </w:t>
      </w:r>
      <w:r w:rsidR="00241BAC" w:rsidRPr="002F6ABB">
        <w:rPr>
          <w:rFonts w:ascii="Arial" w:hAnsi="Arial" w:cs="Arial"/>
          <w:lang w:val="uk-UA"/>
        </w:rPr>
        <w:t>наступни</w:t>
      </w:r>
      <w:r w:rsidRPr="002F6ABB">
        <w:rPr>
          <w:rFonts w:ascii="Arial" w:hAnsi="Arial" w:cs="Arial"/>
          <w:lang w:val="uk-UA"/>
        </w:rPr>
        <w:t>й кошик доходів – і втрачає право на державну соціальну допомогу за ознакою розміру сукупного доходу, а також на частину бюджетних доплат за послуги</w:t>
      </w:r>
      <w:r w:rsidR="00241BAC" w:rsidRPr="002F6ABB">
        <w:rPr>
          <w:rFonts w:ascii="Arial" w:hAnsi="Arial" w:cs="Arial"/>
          <w:lang w:val="uk-UA"/>
        </w:rPr>
        <w:t xml:space="preserve"> приватного</w:t>
      </w:r>
      <w:r w:rsidRPr="002F6ABB">
        <w:rPr>
          <w:rFonts w:ascii="Arial" w:hAnsi="Arial" w:cs="Arial"/>
          <w:lang w:val="uk-UA"/>
        </w:rPr>
        <w:t xml:space="preserve"> центру денного догляду. </w:t>
      </w:r>
    </w:p>
    <w:p w:rsidR="00D129EB" w:rsidRPr="002F6ABB" w:rsidRDefault="00241BAC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Припустимо, для цьо</w:t>
      </w:r>
      <w:r w:rsidR="00D129EB" w:rsidRPr="002F6ABB">
        <w:rPr>
          <w:rFonts w:ascii="Arial" w:hAnsi="Arial" w:cs="Arial"/>
          <w:lang w:val="uk-UA"/>
        </w:rPr>
        <w:t xml:space="preserve">го кошику вони становитимуть </w:t>
      </w:r>
      <w:r w:rsidRPr="002F6ABB">
        <w:rPr>
          <w:rFonts w:ascii="Arial" w:hAnsi="Arial" w:cs="Arial"/>
          <w:lang w:val="uk-UA"/>
        </w:rPr>
        <w:t>60% доплат для нижчо</w:t>
      </w:r>
      <w:r w:rsidR="00D129EB" w:rsidRPr="002F6ABB">
        <w:rPr>
          <w:rFonts w:ascii="Arial" w:hAnsi="Arial" w:cs="Arial"/>
          <w:lang w:val="uk-UA"/>
        </w:rPr>
        <w:t xml:space="preserve">го кошику або 30% прожиткового мінімуму (479 грн.). 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Отже, прямий фінансовий ефект соціальної послуги для бюджету порівняно з виплатою державної соціальної допомоги становив би 10 512 грн. за рік як різниця між витратами на допомогу та доплатами центру денного догляду. Непрямий фінансовий ефект також зростає, в тому числі завдяки сплаті одинокою матір</w:t>
      </w:r>
      <w:r w:rsidRPr="002F6ABB">
        <w:rPr>
          <w:rFonts w:ascii="Arial" w:hAnsi="Arial" w:cs="Arial"/>
        </w:rPr>
        <w:t>’</w:t>
      </w:r>
      <w:r w:rsidRPr="002F6ABB">
        <w:rPr>
          <w:rFonts w:ascii="Arial" w:hAnsi="Arial" w:cs="Arial"/>
          <w:lang w:val="uk-UA"/>
        </w:rPr>
        <w:t>ю податку на доходи фізичних осіб або єдиного податку.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Втім, доходи одинокої матері зросли би на 18300 грн. на рік як різниця між втратами на суму державної соціальної допомоги і бюджетних доплат за послуги центру денного догляду (320 грн. на місяць).</w:t>
      </w: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</w:p>
    <w:p w:rsidR="00D129EB" w:rsidRPr="002F6ABB" w:rsidRDefault="00D129EB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Загалом, на підставі указаних вище розрахунків можна визначити фінансовий ефект для соціальних послуг для інших категорій осіб або для інших посткомуністичних держав, які застосовують аналогічні соціальні допомоги і соціальні послуги.</w:t>
      </w:r>
    </w:p>
    <w:p w:rsidR="00241BAC" w:rsidRPr="002F6ABB" w:rsidRDefault="00241BAC" w:rsidP="00D129EB">
      <w:pPr>
        <w:pStyle w:val="a3"/>
        <w:rPr>
          <w:rFonts w:ascii="Arial" w:hAnsi="Arial" w:cs="Arial"/>
          <w:lang w:val="uk-UA"/>
        </w:rPr>
      </w:pPr>
    </w:p>
    <w:p w:rsidR="00241BAC" w:rsidRPr="002F6ABB" w:rsidRDefault="00241BAC" w:rsidP="00D129EB">
      <w:pPr>
        <w:pStyle w:val="a3"/>
        <w:rPr>
          <w:rFonts w:ascii="Arial" w:hAnsi="Arial" w:cs="Arial"/>
          <w:lang w:val="uk-UA"/>
        </w:rPr>
      </w:pPr>
    </w:p>
    <w:p w:rsidR="00241BAC" w:rsidRPr="002F6ABB" w:rsidRDefault="00241BAC" w:rsidP="00D129EB">
      <w:pPr>
        <w:pStyle w:val="a3"/>
        <w:rPr>
          <w:rFonts w:ascii="Arial" w:hAnsi="Arial" w:cs="Arial"/>
          <w:lang w:val="uk-UA"/>
        </w:rPr>
      </w:pPr>
    </w:p>
    <w:p w:rsidR="00241BAC" w:rsidRPr="002F6ABB" w:rsidRDefault="00241BAC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Проект Закону України «Про соціальні послуги» (</w:t>
      </w:r>
      <w:proofErr w:type="spellStart"/>
      <w:r w:rsidRPr="002F6ABB">
        <w:rPr>
          <w:rFonts w:ascii="Arial" w:hAnsi="Arial" w:cs="Arial"/>
          <w:lang w:val="uk-UA"/>
        </w:rPr>
        <w:t>рег</w:t>
      </w:r>
      <w:proofErr w:type="spellEnd"/>
      <w:r w:rsidRPr="002F6ABB">
        <w:rPr>
          <w:rFonts w:ascii="Arial" w:hAnsi="Arial" w:cs="Arial"/>
          <w:lang w:val="uk-UA"/>
        </w:rPr>
        <w:t xml:space="preserve">. № 4607) обмежує </w:t>
      </w:r>
      <w:r w:rsidR="00DB465A" w:rsidRPr="002F6ABB">
        <w:rPr>
          <w:rFonts w:ascii="Arial" w:hAnsi="Arial" w:cs="Arial"/>
          <w:lang w:val="uk-UA"/>
        </w:rPr>
        <w:t>доходи осіб, які можуть отримувати соціальні послуги з залученням бюджетного фінансування, 200% прожиткового мінімуму для осіб відповідної соціально-демографічної категорії.</w:t>
      </w:r>
    </w:p>
    <w:p w:rsidR="00DB465A" w:rsidRPr="002F6ABB" w:rsidRDefault="00DB465A" w:rsidP="00D129EB">
      <w:pPr>
        <w:pStyle w:val="a3"/>
        <w:rPr>
          <w:rFonts w:ascii="Arial" w:hAnsi="Arial" w:cs="Arial"/>
          <w:lang w:val="uk-UA"/>
        </w:rPr>
      </w:pPr>
    </w:p>
    <w:p w:rsidR="00DB465A" w:rsidRPr="002F6ABB" w:rsidRDefault="00DB465A" w:rsidP="00D129EB">
      <w:pPr>
        <w:pStyle w:val="a3"/>
        <w:rPr>
          <w:rFonts w:ascii="Arial" w:hAnsi="Arial" w:cs="Arial"/>
          <w:lang w:val="uk-UA"/>
        </w:rPr>
      </w:pPr>
      <w:r w:rsidRPr="002F6ABB">
        <w:rPr>
          <w:rFonts w:ascii="Arial" w:hAnsi="Arial" w:cs="Arial"/>
          <w:lang w:val="uk-UA"/>
        </w:rPr>
        <w:t>Тому для розрахунку лімітів бюджетного фінансування не гарантованих державою соціальних послуг у рамках проектів соціального замовлення рекомендується використовувати кілька «кошиків доходів» фактичних одержувачів (0-50%, 50-100% та 100-200% прожиткового мінімуму з округленням до найближчих 10 грн.)</w:t>
      </w:r>
    </w:p>
    <w:p w:rsidR="00DB465A" w:rsidRPr="002F6ABB" w:rsidRDefault="00DB465A" w:rsidP="00D129EB">
      <w:pPr>
        <w:pStyle w:val="a3"/>
        <w:rPr>
          <w:rFonts w:ascii="Arial" w:hAnsi="Arial" w:cs="Arial"/>
          <w:lang w:val="uk-UA"/>
        </w:rPr>
      </w:pPr>
    </w:p>
    <w:p w:rsidR="00DB465A" w:rsidRPr="002F6ABB" w:rsidRDefault="00DB465A" w:rsidP="00DB465A">
      <w:pPr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Рекомендує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т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ь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ся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щоб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бюджет 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(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окремого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проекту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соціального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замовлення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або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конкурсу в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цілому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) не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рев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ищував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:</w:t>
      </w:r>
    </w:p>
    <w:p w:rsidR="00DB465A" w:rsidRPr="002F6ABB" w:rsidRDefault="00DB465A" w:rsidP="00DB465A">
      <w:pPr>
        <w:pStyle w:val="a7"/>
        <w:ind w:left="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B465A" w:rsidRPr="002F6ABB" w:rsidRDefault="00DB465A" w:rsidP="00DB465A">
      <w:pPr>
        <w:pStyle w:val="a7"/>
        <w:ind w:left="0"/>
        <w:rPr>
          <w:rFonts w:ascii="Arial" w:hAnsi="Arial" w:cs="Arial"/>
          <w:sz w:val="22"/>
          <w:szCs w:val="22"/>
          <w:lang w:val="uk-UA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 w:cs="Arial"/>
              <w:sz w:val="22"/>
              <w:szCs w:val="22"/>
              <w:lang w:val="ru-RU"/>
            </w:rPr>
            <m:t>Б</m:t>
          </m:r>
          <m:r>
            <m:rPr>
              <m:sty m:val="b"/>
            </m:rPr>
            <w:rPr>
              <w:rFonts w:ascii="Cambria Math" w:hAnsi="Cambria Math" w:cs="Arial"/>
              <w:sz w:val="22"/>
              <w:szCs w:val="22"/>
              <w:lang w:val="ru-RU"/>
            </w:rPr>
            <m:t>СЗ&lt;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b/>
                  <w:sz w:val="22"/>
                  <w:szCs w:val="22"/>
                  <w:lang w:val="uk-UA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к=</m:t>
              </m:r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uk-UA"/>
                </w:rPr>
                <m:t>К</m:t>
              </m:r>
            </m:sup>
            <m:e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uk-UA"/>
                </w:rPr>
                <m:t>ЛБФк</m:t>
              </m:r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 xml:space="preserve">*ПМк*М </m:t>
              </m:r>
            </m:e>
          </m:nary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uk-UA"/>
            </w:rPr>
            <w:br/>
          </m:r>
        </m:oMath>
      </m:oMathPara>
      <w:r w:rsidRPr="002F6ABB">
        <w:rPr>
          <w:rFonts w:ascii="Arial" w:hAnsi="Arial" w:cs="Arial"/>
          <w:sz w:val="22"/>
          <w:szCs w:val="22"/>
          <w:lang w:val="uk-UA"/>
        </w:rPr>
        <w:t>де</w:t>
      </w:r>
    </w:p>
    <w:tbl>
      <w:tblPr>
        <w:tblW w:w="9047" w:type="dxa"/>
        <w:tblInd w:w="559" w:type="dxa"/>
        <w:tblLayout w:type="fixed"/>
        <w:tblLook w:val="0000" w:firstRow="0" w:lastRow="0" w:firstColumn="0" w:lastColumn="0" w:noHBand="0" w:noVBand="0"/>
      </w:tblPr>
      <w:tblGrid>
        <w:gridCol w:w="1392"/>
        <w:gridCol w:w="7655"/>
      </w:tblGrid>
      <w:tr w:rsidR="00DB465A" w:rsidRPr="002F6ABB" w:rsidTr="008C1E7F">
        <w:trPr>
          <w:trHeight w:val="74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uk-UA"/>
              </w:rPr>
              <w:t>Б</w:t>
            </w:r>
            <w:r w:rsidRPr="002F6ABB">
              <w:rPr>
                <w:rFonts w:ascii="Arial" w:hAnsi="Arial" w:cs="Arial"/>
                <w:sz w:val="22"/>
                <w:szCs w:val="22"/>
                <w:lang w:val="uk-UA"/>
              </w:rPr>
              <w:t xml:space="preserve">СЗ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DB465A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Бюджет </w:t>
            </w: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(проекту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або</w:t>
            </w:r>
            <w:proofErr w:type="spellEnd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конкурсу</w:t>
            </w: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Соці</w:t>
            </w: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ального</w:t>
            </w:r>
            <w:proofErr w:type="spellEnd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замовлення</w:t>
            </w:r>
            <w:proofErr w:type="spellEnd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;</w:t>
            </w:r>
          </w:p>
        </w:tc>
      </w:tr>
      <w:tr w:rsidR="00DB465A" w:rsidRPr="002F6ABB" w:rsidTr="008C1E7F">
        <w:trPr>
          <w:trHeight w:val="74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К       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DB465A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Фактич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на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к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ількість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одержувачів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соціальних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по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слуг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;</w:t>
            </w:r>
          </w:p>
        </w:tc>
      </w:tr>
      <w:tr w:rsidR="00DB465A" w:rsidRPr="002F6ABB" w:rsidTr="008C1E7F">
        <w:trPr>
          <w:trHeight w:val="95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ЛБФ</w:t>
            </w:r>
            <w:r w:rsidRPr="002F6ABB">
              <w:rPr>
                <w:rFonts w:ascii="Arial" w:hAnsi="Arial" w:cs="Arial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8C1E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</w:p>
          <w:p w:rsidR="00DB465A" w:rsidRPr="002F6ABB" w:rsidRDefault="00DB465A" w:rsidP="00DB46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Л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іміт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бюджетного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фі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нанс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уванн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я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на </w:t>
            </w: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одного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одержувача</w:t>
            </w:r>
            <w:proofErr w:type="spellEnd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на один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мі</w:t>
            </w: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сяц</w:t>
            </w: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ь</w:t>
            </w:r>
            <w:proofErr w:type="spellEnd"/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за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лежно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від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“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ко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шику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доходів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”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одержувача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(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100%, 50%, 0%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)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;</w:t>
            </w:r>
          </w:p>
        </w:tc>
      </w:tr>
      <w:tr w:rsidR="00DB465A" w:rsidRPr="002F6ABB" w:rsidTr="008C1E7F">
        <w:trPr>
          <w:trHeight w:val="95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ПМ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DB46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Прожитковий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міні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мум</w:t>
            </w:r>
            <w:proofErr w:type="spellEnd"/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на одного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одержувача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на один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мі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сяц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ь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залежно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від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соціально-демографічної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категорії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;</w:t>
            </w:r>
          </w:p>
        </w:tc>
      </w:tr>
      <w:tr w:rsidR="00DB465A" w:rsidRPr="002F6ABB" w:rsidTr="008C1E7F">
        <w:trPr>
          <w:trHeight w:val="95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uk-UA"/>
              </w:rPr>
              <w:t>М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DB46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uk-UA"/>
              </w:rPr>
              <w:t>Тривалість (проекту або конкурсу) в місяця</w:t>
            </w:r>
            <w:r w:rsidRPr="002F6ABB">
              <w:rPr>
                <w:rFonts w:ascii="Arial" w:hAnsi="Arial" w:cs="Arial"/>
                <w:sz w:val="22"/>
                <w:szCs w:val="22"/>
                <w:lang w:val="uk-UA"/>
              </w:rPr>
              <w:t>х</w:t>
            </w: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</w:tbl>
    <w:p w:rsidR="002F6ABB" w:rsidRDefault="002F6ABB" w:rsidP="00DB465A">
      <w:pPr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DB465A" w:rsidRPr="002F6ABB" w:rsidRDefault="00DB465A" w:rsidP="00DB465A">
      <w:pPr>
        <w:jc w:val="both"/>
        <w:rPr>
          <w:rFonts w:ascii="Arial" w:hAnsi="Arial" w:cs="Arial"/>
          <w:b/>
          <w:color w:val="2B2B2B"/>
          <w:sz w:val="22"/>
          <w:szCs w:val="22"/>
          <w:lang w:val="ru-RU"/>
        </w:rPr>
      </w:pPr>
      <w:bookmarkStart w:id="0" w:name="_GoBack"/>
      <w:bookmarkEnd w:id="0"/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Якщо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соціальні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послуги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надаються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2F6ABB">
        <w:rPr>
          <w:rFonts w:ascii="Arial" w:hAnsi="Arial" w:cs="Arial"/>
          <w:b/>
          <w:color w:val="2B2B2B"/>
          <w:sz w:val="22"/>
          <w:szCs w:val="22"/>
          <w:lang w:val="ru-RU"/>
        </w:rPr>
        <w:t xml:space="preserve">на </w:t>
      </w:r>
      <w:proofErr w:type="spellStart"/>
      <w:r w:rsidRPr="002F6ABB">
        <w:rPr>
          <w:rFonts w:ascii="Arial" w:hAnsi="Arial" w:cs="Arial"/>
          <w:b/>
          <w:color w:val="2B2B2B"/>
          <w:sz w:val="22"/>
          <w:szCs w:val="22"/>
          <w:lang w:val="ru-RU"/>
        </w:rPr>
        <w:t>по</w:t>
      </w:r>
      <w:r w:rsidRPr="002F6ABB">
        <w:rPr>
          <w:rFonts w:ascii="Arial" w:hAnsi="Arial" w:cs="Arial"/>
          <w:b/>
          <w:color w:val="2B2B2B"/>
          <w:sz w:val="22"/>
          <w:szCs w:val="22"/>
          <w:lang w:val="ru-RU"/>
        </w:rPr>
        <w:t>годинній</w:t>
      </w:r>
      <w:proofErr w:type="spellEnd"/>
      <w:r w:rsidRPr="002F6ABB">
        <w:rPr>
          <w:rFonts w:ascii="Arial" w:hAnsi="Arial" w:cs="Arial"/>
          <w:b/>
          <w:color w:val="2B2B2B"/>
          <w:sz w:val="22"/>
          <w:szCs w:val="22"/>
          <w:lang w:val="ru-RU"/>
        </w:rPr>
        <w:t xml:space="preserve"> </w:t>
      </w:r>
      <w:proofErr w:type="spellStart"/>
      <w:r w:rsidRPr="002F6ABB">
        <w:rPr>
          <w:rFonts w:ascii="Arial" w:hAnsi="Arial" w:cs="Arial"/>
          <w:b/>
          <w:color w:val="2B2B2B"/>
          <w:sz w:val="22"/>
          <w:szCs w:val="22"/>
          <w:lang w:val="ru-RU"/>
        </w:rPr>
        <w:t>основі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ліміт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бюджет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ного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фінансування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(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проект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у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або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конкурсу)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Соці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>ального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замовлення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 не </w:t>
      </w:r>
      <w:r w:rsidRPr="002F6ABB">
        <w:rPr>
          <w:rFonts w:ascii="Arial" w:hAnsi="Arial" w:cs="Arial"/>
          <w:b/>
          <w:bCs/>
          <w:sz w:val="22"/>
          <w:szCs w:val="22"/>
          <w:lang w:val="ru-RU"/>
        </w:rPr>
        <w:t xml:space="preserve">повинен </w:t>
      </w:r>
      <w:proofErr w:type="spellStart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перевищувати</w:t>
      </w:r>
      <w:proofErr w:type="spellEnd"/>
      <w:r w:rsidRPr="002F6ABB">
        <w:rPr>
          <w:rFonts w:ascii="Arial" w:hAnsi="Arial" w:cs="Arial"/>
          <w:b/>
          <w:bCs/>
          <w:sz w:val="22"/>
          <w:szCs w:val="22"/>
          <w:lang w:val="ru-RU"/>
        </w:rPr>
        <w:t>:</w:t>
      </w:r>
    </w:p>
    <w:p w:rsidR="00DB465A" w:rsidRPr="002F6ABB" w:rsidRDefault="00DB465A" w:rsidP="00DB465A">
      <w:pPr>
        <w:pStyle w:val="a7"/>
        <w:ind w:left="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B465A" w:rsidRPr="002F6ABB" w:rsidRDefault="00DB465A" w:rsidP="00DB465A">
      <w:pPr>
        <w:pStyle w:val="a7"/>
        <w:ind w:left="0"/>
        <w:rPr>
          <w:rFonts w:ascii="Arial" w:hAnsi="Arial" w:cs="Arial"/>
          <w:sz w:val="22"/>
          <w:szCs w:val="22"/>
          <w:lang w:val="uk-UA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 w:cs="Arial"/>
              <w:sz w:val="22"/>
              <w:szCs w:val="22"/>
              <w:lang w:val="ru-RU"/>
            </w:rPr>
            <m:t>БГСЗ&lt;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b/>
                  <w:sz w:val="22"/>
                  <w:szCs w:val="22"/>
                  <w:lang w:val="uk-UA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к=</m:t>
              </m:r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uk-UA"/>
                </w:rPr>
                <m:t>К</m:t>
              </m:r>
            </m:sup>
            <m:e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uk-UA"/>
                </w:rPr>
                <m:t>ЛБФк</m:t>
              </m:r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Г</m:t>
              </m:r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ПМк*</m:t>
              </m:r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Г</m:t>
              </m:r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 xml:space="preserve">к* ПК </m:t>
              </m:r>
            </m:e>
          </m:nary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uk-UA"/>
            </w:rPr>
            <w:br/>
          </m:r>
        </m:oMath>
      </m:oMathPara>
      <w:r w:rsidRPr="002F6ABB">
        <w:rPr>
          <w:rFonts w:ascii="Arial" w:hAnsi="Arial" w:cs="Arial"/>
          <w:sz w:val="22"/>
          <w:szCs w:val="22"/>
          <w:lang w:val="uk-UA"/>
        </w:rPr>
        <w:t>де</w:t>
      </w:r>
    </w:p>
    <w:tbl>
      <w:tblPr>
        <w:tblW w:w="9047" w:type="dxa"/>
        <w:tblInd w:w="559" w:type="dxa"/>
        <w:tblLayout w:type="fixed"/>
        <w:tblLook w:val="0000" w:firstRow="0" w:lastRow="0" w:firstColumn="0" w:lastColumn="0" w:noHBand="0" w:noVBand="0"/>
      </w:tblPr>
      <w:tblGrid>
        <w:gridCol w:w="1392"/>
        <w:gridCol w:w="7655"/>
      </w:tblGrid>
      <w:tr w:rsidR="00DB465A" w:rsidRPr="002F6ABB" w:rsidTr="008C1E7F">
        <w:trPr>
          <w:trHeight w:val="74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DB465A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uk-UA"/>
              </w:rPr>
              <w:t xml:space="preserve">БСЗ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DB465A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Бюджет (проекту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або</w:t>
            </w:r>
            <w:proofErr w:type="spellEnd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конкурсу)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Соціального</w:t>
            </w:r>
            <w:proofErr w:type="spellEnd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замовлення</w:t>
            </w:r>
            <w:proofErr w:type="spellEnd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;</w:t>
            </w:r>
          </w:p>
        </w:tc>
      </w:tr>
      <w:tr w:rsidR="00DB465A" w:rsidRPr="002F6ABB" w:rsidTr="008C1E7F">
        <w:trPr>
          <w:trHeight w:val="74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DB465A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К       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DB465A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Фактична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кількість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одержувачів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соціальних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послуг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;</w:t>
            </w:r>
          </w:p>
        </w:tc>
      </w:tr>
      <w:tr w:rsidR="00DB465A" w:rsidRPr="002F6ABB" w:rsidTr="008C1E7F">
        <w:trPr>
          <w:trHeight w:val="95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DB465A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ЛБФ</w:t>
            </w:r>
            <w:r w:rsidRPr="002F6ABB">
              <w:rPr>
                <w:rFonts w:ascii="Arial" w:hAnsi="Arial" w:cs="Arial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DB46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</w:p>
          <w:p w:rsidR="00DB465A" w:rsidRPr="002F6ABB" w:rsidRDefault="00DB465A" w:rsidP="00DB46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Ліміт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бюджетного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фінансування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на </w:t>
            </w:r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одного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одержувача</w:t>
            </w:r>
            <w:proofErr w:type="spellEnd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на один </w:t>
            </w:r>
            <w:proofErr w:type="spellStart"/>
            <w:r w:rsidRPr="002F6ABB">
              <w:rPr>
                <w:rFonts w:ascii="Arial" w:hAnsi="Arial" w:cs="Arial"/>
                <w:bCs/>
                <w:sz w:val="22"/>
                <w:szCs w:val="22"/>
                <w:lang w:val="ru-RU"/>
              </w:rPr>
              <w:t>місяць</w:t>
            </w:r>
            <w:proofErr w:type="spellEnd"/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залежно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від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“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кошику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доходів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”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одержувача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(100%, 50%, 0%);</w:t>
            </w:r>
          </w:p>
        </w:tc>
      </w:tr>
      <w:tr w:rsidR="00DB465A" w:rsidRPr="002F6ABB" w:rsidTr="008C1E7F">
        <w:trPr>
          <w:trHeight w:val="95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2F6ABB" w:rsidRPr="002F6ABB" w:rsidRDefault="002F6ABB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B465A" w:rsidRPr="002F6ABB" w:rsidRDefault="002F6ABB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DB465A"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ПМ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ABB" w:rsidRPr="002F6ABB" w:rsidRDefault="002F6ABB" w:rsidP="008C1E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</w:p>
          <w:p w:rsidR="00DB465A" w:rsidRPr="002F6ABB" w:rsidRDefault="00DB465A" w:rsidP="008C1E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По</w:t>
            </w:r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годинний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прожит</w:t>
            </w:r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ковий</w:t>
            </w:r>
            <w:proofErr w:type="spellEnd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міні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мум</w:t>
            </w:r>
            <w:proofErr w:type="spellEnd"/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на одного </w:t>
            </w:r>
            <w:proofErr w:type="spellStart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одержувача</w:t>
            </w:r>
            <w:proofErr w:type="spellEnd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на одну годину </w:t>
            </w:r>
            <w:proofErr w:type="spellStart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залежно</w:t>
            </w:r>
            <w:proofErr w:type="spellEnd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від</w:t>
            </w:r>
            <w:proofErr w:type="spellEnd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соціально-демографічної</w:t>
            </w:r>
            <w:proofErr w:type="spellEnd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6ABB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категорії</w:t>
            </w:r>
            <w:proofErr w:type="spellEnd"/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;</w:t>
            </w:r>
          </w:p>
          <w:p w:rsidR="00DB465A" w:rsidRPr="002F6ABB" w:rsidRDefault="002F6ABB" w:rsidP="008C1E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Г</w:t>
            </w:r>
            <w:r w:rsidR="00DB465A" w:rsidRPr="002F6ABB">
              <w:rPr>
                <w:rFonts w:ascii="Arial" w:hAnsi="Arial" w:cs="Arial"/>
                <w:color w:val="2B2B2B"/>
                <w:sz w:val="22"/>
                <w:szCs w:val="22"/>
                <w:lang w:val="ru-RU"/>
              </w:rPr>
              <w:t>ПМ = ПМ / количество рабочих часов в месяце</w:t>
            </w:r>
          </w:p>
        </w:tc>
      </w:tr>
      <w:tr w:rsidR="00DB465A" w:rsidRPr="002F6ABB" w:rsidTr="008C1E7F">
        <w:trPr>
          <w:trHeight w:val="95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2F6ABB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2F6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>ількість</w:t>
            </w:r>
            <w:proofErr w:type="spellEnd"/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 годин фактичного </w:t>
            </w:r>
            <w:proofErr w:type="spellStart"/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>надання</w:t>
            </w:r>
            <w:proofErr w:type="spellEnd"/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>посл</w:t>
            </w: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уг</w:t>
            </w:r>
            <w:proofErr w:type="spellEnd"/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 одному </w:t>
            </w:r>
            <w:proofErr w:type="spellStart"/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>одержувачу</w:t>
            </w:r>
            <w:proofErr w:type="spellEnd"/>
          </w:p>
        </w:tc>
      </w:tr>
      <w:tr w:rsidR="00DB465A" w:rsidRPr="002F6ABB" w:rsidTr="008C1E7F">
        <w:trPr>
          <w:trHeight w:val="95"/>
        </w:trPr>
        <w:tc>
          <w:tcPr>
            <w:tcW w:w="1392" w:type="dxa"/>
            <w:shd w:val="clear" w:color="auto" w:fill="auto"/>
            <w:vAlign w:val="center"/>
          </w:tcPr>
          <w:p w:rsidR="00DB465A" w:rsidRPr="002F6ABB" w:rsidRDefault="00DB465A" w:rsidP="008C1E7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ПК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B465A" w:rsidRPr="002F6ABB" w:rsidRDefault="00DB465A" w:rsidP="002F6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>годинний</w:t>
            </w:r>
            <w:proofErr w:type="spellEnd"/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>коефі</w:t>
            </w: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ц</w:t>
            </w:r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>іе</w:t>
            </w: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нт</w:t>
            </w:r>
            <w:proofErr w:type="spellEnd"/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 = </w:t>
            </w:r>
            <w:r w:rsidR="002F6ABB"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(до </w:t>
            </w: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>150</w:t>
            </w:r>
            <w:r w:rsidRPr="002F6ABB">
              <w:rPr>
                <w:rFonts w:ascii="Arial" w:hAnsi="Arial" w:cs="Arial"/>
                <w:sz w:val="22"/>
                <w:szCs w:val="22"/>
              </w:rPr>
              <w:t>%</w:t>
            </w:r>
            <w:r w:rsidR="002F6ABB" w:rsidRPr="002F6ABB">
              <w:rPr>
                <w:rFonts w:ascii="Arial" w:hAnsi="Arial" w:cs="Arial"/>
                <w:sz w:val="22"/>
                <w:szCs w:val="22"/>
                <w:lang w:val="uk-UA"/>
              </w:rPr>
              <w:t>)</w:t>
            </w:r>
            <w:r w:rsidRPr="002F6ABB">
              <w:rPr>
                <w:rFonts w:ascii="Arial" w:hAnsi="Arial" w:cs="Arial"/>
                <w:sz w:val="22"/>
                <w:szCs w:val="22"/>
              </w:rPr>
              <w:t>.</w:t>
            </w:r>
            <w:r w:rsidRPr="002F6A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DB465A" w:rsidRPr="002F6ABB" w:rsidRDefault="00DB465A" w:rsidP="00D129EB">
      <w:pPr>
        <w:pStyle w:val="a3"/>
        <w:rPr>
          <w:rFonts w:ascii="Arial" w:hAnsi="Arial" w:cs="Arial"/>
          <w:lang w:val="uk-UA"/>
        </w:rPr>
      </w:pPr>
    </w:p>
    <w:p w:rsidR="004B74F3" w:rsidRPr="002F6ABB" w:rsidRDefault="004B74F3">
      <w:pPr>
        <w:rPr>
          <w:rFonts w:ascii="Arial" w:hAnsi="Arial" w:cs="Arial"/>
          <w:sz w:val="22"/>
          <w:szCs w:val="22"/>
          <w:lang w:val="uk-UA"/>
        </w:rPr>
      </w:pPr>
    </w:p>
    <w:p w:rsidR="00241BAC" w:rsidRPr="002F6ABB" w:rsidRDefault="00241BAC">
      <w:pPr>
        <w:rPr>
          <w:rFonts w:ascii="Arial" w:hAnsi="Arial" w:cs="Arial"/>
          <w:sz w:val="22"/>
          <w:szCs w:val="22"/>
          <w:lang w:val="uk-UA"/>
        </w:rPr>
      </w:pPr>
    </w:p>
    <w:p w:rsidR="00241BAC" w:rsidRPr="002F6ABB" w:rsidRDefault="00241BAC">
      <w:pPr>
        <w:rPr>
          <w:rFonts w:ascii="Arial" w:hAnsi="Arial" w:cs="Arial"/>
          <w:sz w:val="22"/>
          <w:szCs w:val="22"/>
          <w:lang w:val="uk-UA"/>
        </w:rPr>
      </w:pPr>
    </w:p>
    <w:p w:rsidR="00241BAC" w:rsidRPr="002F6ABB" w:rsidRDefault="00241BAC">
      <w:pPr>
        <w:rPr>
          <w:rFonts w:ascii="Arial" w:hAnsi="Arial" w:cs="Arial"/>
          <w:sz w:val="22"/>
          <w:szCs w:val="22"/>
          <w:lang w:val="uk-UA"/>
        </w:rPr>
      </w:pPr>
    </w:p>
    <w:p w:rsidR="00241BAC" w:rsidRPr="002F6ABB" w:rsidRDefault="00241BAC">
      <w:pPr>
        <w:rPr>
          <w:rFonts w:ascii="Arial" w:hAnsi="Arial" w:cs="Arial"/>
          <w:sz w:val="22"/>
          <w:szCs w:val="22"/>
          <w:lang w:val="uk-UA"/>
        </w:rPr>
      </w:pPr>
    </w:p>
    <w:p w:rsidR="00241BAC" w:rsidRPr="002F6ABB" w:rsidRDefault="00241BAC">
      <w:pPr>
        <w:rPr>
          <w:rFonts w:ascii="Arial" w:hAnsi="Arial" w:cs="Arial"/>
          <w:sz w:val="22"/>
          <w:szCs w:val="22"/>
          <w:lang w:val="uk-UA"/>
        </w:rPr>
      </w:pPr>
    </w:p>
    <w:sectPr w:rsidR="00241BAC" w:rsidRPr="002F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78" w:rsidRDefault="00F56C78" w:rsidP="005E00D0">
      <w:r>
        <w:separator/>
      </w:r>
    </w:p>
  </w:endnote>
  <w:endnote w:type="continuationSeparator" w:id="0">
    <w:p w:rsidR="00F56C78" w:rsidRDefault="00F56C78" w:rsidP="005E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78" w:rsidRDefault="00F56C78" w:rsidP="005E00D0">
      <w:r>
        <w:separator/>
      </w:r>
    </w:p>
  </w:footnote>
  <w:footnote w:type="continuationSeparator" w:id="0">
    <w:p w:rsidR="00F56C78" w:rsidRDefault="00F56C78" w:rsidP="005E00D0">
      <w:r>
        <w:continuationSeparator/>
      </w:r>
    </w:p>
  </w:footnote>
  <w:footnote w:id="1">
    <w:p w:rsidR="005E00D0" w:rsidRPr="005E00D0" w:rsidRDefault="005E00D0" w:rsidP="005E00D0">
      <w:pPr>
        <w:pStyle w:val="a3"/>
        <w:rPr>
          <w:rFonts w:ascii="Times New Roman" w:hAnsi="Times New Roman"/>
          <w:sz w:val="18"/>
          <w:szCs w:val="18"/>
          <w:lang w:val="uk-UA"/>
        </w:rPr>
      </w:pPr>
      <w:r>
        <w:rPr>
          <w:rStyle w:val="a6"/>
        </w:rPr>
        <w:footnoteRef/>
      </w:r>
      <w:r>
        <w:t xml:space="preserve"> </w:t>
      </w:r>
      <w:r w:rsidRPr="005E00D0">
        <w:rPr>
          <w:rFonts w:ascii="Times New Roman" w:hAnsi="Times New Roman"/>
          <w:sz w:val="18"/>
          <w:szCs w:val="18"/>
          <w:lang w:val="uk-UA"/>
        </w:rPr>
        <w:t>Прожитковий мінімум з 1 січня до 1 травня 2017 р. становить для дітей від 0 до 6 років - 1355 грн., для дітей від 6 до 18 років - 1689 грн. на місяць; для працездатних осіб – 1600 грн.</w:t>
      </w:r>
    </w:p>
    <w:p w:rsidR="005E00D0" w:rsidRPr="005E00D0" w:rsidRDefault="005E00D0">
      <w:pPr>
        <w:pStyle w:val="a4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EB"/>
    <w:rsid w:val="00042185"/>
    <w:rsid w:val="00241BAC"/>
    <w:rsid w:val="002F6ABB"/>
    <w:rsid w:val="004B74F3"/>
    <w:rsid w:val="005E00D0"/>
    <w:rsid w:val="007A3C9C"/>
    <w:rsid w:val="00D129EB"/>
    <w:rsid w:val="00DB465A"/>
    <w:rsid w:val="00F5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C6B0"/>
  <w15:chartTrackingRefBased/>
  <w15:docId w15:val="{6E3D907A-7D4C-42D8-8C2F-115DC6B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5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9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5E00D0"/>
    <w:rPr>
      <w:rFonts w:eastAsiaTheme="minorHAnsi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E00D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00D0"/>
    <w:rPr>
      <w:vertAlign w:val="superscript"/>
    </w:rPr>
  </w:style>
  <w:style w:type="paragraph" w:styleId="a7">
    <w:name w:val="List Paragraph"/>
    <w:basedOn w:val="a"/>
    <w:uiPriority w:val="34"/>
    <w:qFormat/>
    <w:rsid w:val="00DB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682E-21F1-4A46-8B7A-5EA7FE75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2017-04-19T14:18:00Z</dcterms:created>
  <dcterms:modified xsi:type="dcterms:W3CDTF">2017-04-19T15:00:00Z</dcterms:modified>
</cp:coreProperties>
</file>